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B4734" w14:textId="77777777" w:rsidR="00C979F9" w:rsidRDefault="00C979F9" w:rsidP="00AE5F83">
      <w:pPr>
        <w:ind w:firstLine="90"/>
        <w:jc w:val="center"/>
        <w:rPr>
          <w:b/>
          <w:bCs/>
          <w:sz w:val="36"/>
          <w:szCs w:val="36"/>
        </w:rPr>
      </w:pPr>
      <w:bookmarkStart w:id="0" w:name="_Hlk134198543"/>
      <w:bookmarkEnd w:id="0"/>
    </w:p>
    <w:p w14:paraId="238836E7" w14:textId="77777777" w:rsidR="00C979F9" w:rsidRPr="008F77B8" w:rsidRDefault="00C979F9" w:rsidP="009B6C8A">
      <w:pPr>
        <w:jc w:val="center"/>
        <w:rPr>
          <w:b/>
          <w:bCs/>
          <w:sz w:val="28"/>
          <w:szCs w:val="28"/>
        </w:rPr>
      </w:pPr>
    </w:p>
    <w:p w14:paraId="76298B10" w14:textId="73F1EFC4" w:rsidR="00A957BD" w:rsidRPr="00AE5F83" w:rsidRDefault="00401FB1" w:rsidP="009B6C8A">
      <w:pPr>
        <w:jc w:val="center"/>
        <w:rPr>
          <w:b/>
          <w:bCs/>
          <w:sz w:val="32"/>
          <w:szCs w:val="32"/>
        </w:rPr>
      </w:pPr>
      <w:r w:rsidRPr="00AE5F83">
        <w:rPr>
          <w:b/>
          <w:bCs/>
          <w:sz w:val="32"/>
          <w:szCs w:val="32"/>
        </w:rPr>
        <w:t xml:space="preserve">Gender and Transitional Justice: </w:t>
      </w:r>
      <w:r w:rsidR="00E559F2" w:rsidRPr="00AE5F83">
        <w:rPr>
          <w:b/>
          <w:bCs/>
          <w:sz w:val="32"/>
          <w:szCs w:val="32"/>
        </w:rPr>
        <w:t>Explaining Global Trends</w:t>
      </w:r>
    </w:p>
    <w:p w14:paraId="7729B00C" w14:textId="77777777" w:rsidR="00401FB1" w:rsidRDefault="00401FB1" w:rsidP="009B6C8A">
      <w:pPr>
        <w:jc w:val="center"/>
      </w:pPr>
    </w:p>
    <w:p w14:paraId="637E0F31" w14:textId="77777777" w:rsidR="009B6C8A" w:rsidRDefault="009B6C8A" w:rsidP="009B6C8A">
      <w:pPr>
        <w:jc w:val="center"/>
      </w:pPr>
    </w:p>
    <w:p w14:paraId="18449E9B" w14:textId="2493F5AA" w:rsidR="00932C37" w:rsidRPr="00873D97" w:rsidRDefault="00401FB1" w:rsidP="009B6C8A">
      <w:pPr>
        <w:jc w:val="center"/>
        <w:rPr>
          <w:sz w:val="22"/>
          <w:szCs w:val="22"/>
        </w:rPr>
      </w:pPr>
      <w:r w:rsidRPr="00873D97">
        <w:rPr>
          <w:sz w:val="22"/>
          <w:szCs w:val="22"/>
        </w:rPr>
        <w:t>Kathryn Sikkink, Helen Clapp, Daniel Marin-Lopez</w:t>
      </w:r>
      <w:r w:rsidR="009B6C8A" w:rsidRPr="00873D97">
        <w:rPr>
          <w:sz w:val="22"/>
          <w:szCs w:val="22"/>
        </w:rPr>
        <w:t>, and Averell Schmidt</w:t>
      </w:r>
      <w:r w:rsidR="002235C6" w:rsidRPr="00873D97">
        <w:rPr>
          <w:rStyle w:val="FootnoteReference"/>
          <w:sz w:val="22"/>
          <w:szCs w:val="22"/>
        </w:rPr>
        <w:footnoteReference w:customMarkFollows="1" w:id="2"/>
        <w:t>*</w:t>
      </w:r>
    </w:p>
    <w:p w14:paraId="116178B9" w14:textId="77777777" w:rsidR="008E4D3B" w:rsidRPr="00873D97" w:rsidRDefault="008E4D3B" w:rsidP="009B6C8A">
      <w:pPr>
        <w:jc w:val="center"/>
        <w:rPr>
          <w:sz w:val="22"/>
          <w:szCs w:val="22"/>
        </w:rPr>
      </w:pPr>
    </w:p>
    <w:p w14:paraId="51B3EEE7" w14:textId="77777777" w:rsidR="009B6C8A" w:rsidRPr="00873D97" w:rsidRDefault="009B6C8A" w:rsidP="009B6C8A">
      <w:pPr>
        <w:jc w:val="center"/>
        <w:rPr>
          <w:sz w:val="22"/>
          <w:szCs w:val="22"/>
        </w:rPr>
      </w:pPr>
    </w:p>
    <w:p w14:paraId="33C92C98" w14:textId="4BF87F0D" w:rsidR="009B6C8A" w:rsidRPr="00873D97" w:rsidRDefault="00AE0C3D" w:rsidP="000B1EF6">
      <w:pPr>
        <w:jc w:val="center"/>
        <w:rPr>
          <w:b/>
          <w:bCs/>
          <w:sz w:val="22"/>
          <w:szCs w:val="22"/>
        </w:rPr>
      </w:pPr>
      <w:r>
        <w:rPr>
          <w:sz w:val="22"/>
          <w:szCs w:val="22"/>
        </w:rPr>
        <w:t>May</w:t>
      </w:r>
      <w:r w:rsidR="000B1EF6">
        <w:rPr>
          <w:sz w:val="22"/>
          <w:szCs w:val="22"/>
        </w:rPr>
        <w:t xml:space="preserve"> </w:t>
      </w:r>
      <w:r>
        <w:rPr>
          <w:sz w:val="22"/>
          <w:szCs w:val="22"/>
        </w:rPr>
        <w:t>2</w:t>
      </w:r>
      <w:r w:rsidR="000B1EF6">
        <w:rPr>
          <w:sz w:val="22"/>
          <w:szCs w:val="22"/>
        </w:rPr>
        <w:t>, 2024</w:t>
      </w:r>
    </w:p>
    <w:p w14:paraId="1F4669B2" w14:textId="77777777" w:rsidR="009B6C8A" w:rsidRPr="00873D97" w:rsidRDefault="009B6C8A">
      <w:pPr>
        <w:rPr>
          <w:sz w:val="22"/>
          <w:szCs w:val="22"/>
        </w:rPr>
      </w:pPr>
    </w:p>
    <w:p w14:paraId="318F5518" w14:textId="5D11389E" w:rsidR="00410D61" w:rsidRPr="00873D97" w:rsidRDefault="00410D61" w:rsidP="00410D61">
      <w:pPr>
        <w:jc w:val="center"/>
        <w:rPr>
          <w:sz w:val="22"/>
          <w:szCs w:val="22"/>
        </w:rPr>
      </w:pPr>
      <w:r w:rsidRPr="00873D97">
        <w:rPr>
          <w:sz w:val="22"/>
          <w:szCs w:val="22"/>
        </w:rPr>
        <w:t xml:space="preserve">Word Count: </w:t>
      </w:r>
      <w:r w:rsidR="005A73D2">
        <w:rPr>
          <w:sz w:val="22"/>
          <w:szCs w:val="22"/>
        </w:rPr>
        <w:t>10</w:t>
      </w:r>
      <w:r w:rsidRPr="00873D97">
        <w:rPr>
          <w:sz w:val="22"/>
          <w:szCs w:val="22"/>
        </w:rPr>
        <w:t>,</w:t>
      </w:r>
      <w:r w:rsidR="005A73D2">
        <w:rPr>
          <w:sz w:val="22"/>
          <w:szCs w:val="22"/>
        </w:rPr>
        <w:t>53</w:t>
      </w:r>
      <w:r w:rsidR="0092635F">
        <w:rPr>
          <w:sz w:val="22"/>
          <w:szCs w:val="22"/>
        </w:rPr>
        <w:t>3</w:t>
      </w:r>
    </w:p>
    <w:p w14:paraId="78164322" w14:textId="77777777" w:rsidR="009B6C8A" w:rsidRDefault="009B6C8A" w:rsidP="009B6C8A">
      <w:pPr>
        <w:jc w:val="center"/>
        <w:rPr>
          <w:b/>
          <w:color w:val="000000" w:themeColor="text1"/>
          <w:sz w:val="22"/>
          <w:szCs w:val="22"/>
        </w:rPr>
      </w:pPr>
    </w:p>
    <w:p w14:paraId="4124EFCF" w14:textId="77777777" w:rsidR="00AE5F83" w:rsidRDefault="00AE5F83" w:rsidP="009B6C8A">
      <w:pPr>
        <w:jc w:val="center"/>
        <w:rPr>
          <w:b/>
          <w:color w:val="000000" w:themeColor="text1"/>
          <w:sz w:val="22"/>
          <w:szCs w:val="22"/>
        </w:rPr>
      </w:pPr>
    </w:p>
    <w:p w14:paraId="3A6825D6" w14:textId="77777777" w:rsidR="00AE5F83" w:rsidRDefault="00AE5F83" w:rsidP="009B6C8A">
      <w:pPr>
        <w:jc w:val="center"/>
        <w:rPr>
          <w:b/>
          <w:color w:val="000000" w:themeColor="text1"/>
          <w:sz w:val="22"/>
          <w:szCs w:val="22"/>
        </w:rPr>
      </w:pPr>
    </w:p>
    <w:p w14:paraId="00528775" w14:textId="77777777" w:rsidR="00AE5F83" w:rsidRDefault="00AE5F83" w:rsidP="009B6C8A">
      <w:pPr>
        <w:jc w:val="center"/>
        <w:rPr>
          <w:b/>
          <w:color w:val="000000" w:themeColor="text1"/>
          <w:sz w:val="22"/>
          <w:szCs w:val="22"/>
        </w:rPr>
      </w:pPr>
    </w:p>
    <w:p w14:paraId="5BAB82BB" w14:textId="77777777" w:rsidR="00AE5F83" w:rsidRDefault="00AE5F83" w:rsidP="009B6C8A">
      <w:pPr>
        <w:jc w:val="center"/>
        <w:rPr>
          <w:b/>
          <w:color w:val="000000" w:themeColor="text1"/>
          <w:sz w:val="22"/>
          <w:szCs w:val="22"/>
        </w:rPr>
      </w:pPr>
    </w:p>
    <w:p w14:paraId="2491E6A2" w14:textId="77777777" w:rsidR="00AE5F83" w:rsidRPr="00873D97" w:rsidRDefault="00AE5F83" w:rsidP="009B6C8A">
      <w:pPr>
        <w:jc w:val="center"/>
        <w:rPr>
          <w:b/>
          <w:color w:val="000000" w:themeColor="text1"/>
          <w:sz w:val="22"/>
          <w:szCs w:val="22"/>
        </w:rPr>
      </w:pPr>
    </w:p>
    <w:p w14:paraId="091A6A63" w14:textId="093A53BC" w:rsidR="009B6C8A" w:rsidRPr="00873D97" w:rsidRDefault="009B6C8A" w:rsidP="009B6C8A">
      <w:pPr>
        <w:jc w:val="center"/>
        <w:rPr>
          <w:b/>
          <w:color w:val="000000" w:themeColor="text1"/>
          <w:sz w:val="22"/>
          <w:szCs w:val="22"/>
        </w:rPr>
      </w:pPr>
      <w:r w:rsidRPr="00873D97">
        <w:rPr>
          <w:b/>
          <w:color w:val="000000" w:themeColor="text1"/>
          <w:sz w:val="22"/>
          <w:szCs w:val="22"/>
        </w:rPr>
        <w:t xml:space="preserve">Abstract </w:t>
      </w:r>
    </w:p>
    <w:p w14:paraId="6D408188" w14:textId="77777777" w:rsidR="000B1EF6" w:rsidRPr="00EC3A09" w:rsidRDefault="000B1EF6" w:rsidP="005D4F6A">
      <w:pPr>
        <w:ind w:left="720" w:right="720"/>
        <w:rPr>
          <w:color w:val="000000" w:themeColor="text1"/>
          <w:sz w:val="22"/>
          <w:szCs w:val="22"/>
        </w:rPr>
      </w:pPr>
    </w:p>
    <w:p w14:paraId="7980C6E3" w14:textId="77777777" w:rsidR="009B6C8A" w:rsidRDefault="009B6C8A" w:rsidP="00B55ADC">
      <w:pPr>
        <w:ind w:right="720"/>
        <w:rPr>
          <w:color w:val="000000" w:themeColor="text1"/>
          <w:sz w:val="22"/>
          <w:szCs w:val="22"/>
        </w:rPr>
      </w:pPr>
    </w:p>
    <w:p w14:paraId="4A659B6D" w14:textId="3522167E" w:rsidR="000B1EF6" w:rsidRPr="00C06FEF" w:rsidRDefault="000B1EF6" w:rsidP="006116A5">
      <w:pPr>
        <w:pStyle w:val="NormalWeb"/>
        <w:spacing w:before="0" w:beforeAutospacing="0" w:after="0" w:afterAutospacing="0"/>
        <w:ind w:left="720" w:right="720"/>
        <w:rPr>
          <w:sz w:val="22"/>
          <w:szCs w:val="22"/>
        </w:rPr>
      </w:pPr>
      <w:r>
        <w:rPr>
          <w:color w:val="000000" w:themeColor="text1"/>
          <w:sz w:val="22"/>
          <w:szCs w:val="22"/>
        </w:rPr>
        <w:t>In this article, we us</w:t>
      </w:r>
      <w:r w:rsidR="001E6215">
        <w:rPr>
          <w:color w:val="000000" w:themeColor="text1"/>
          <w:sz w:val="22"/>
          <w:szCs w:val="22"/>
        </w:rPr>
        <w:t>e</w:t>
      </w:r>
      <w:r>
        <w:rPr>
          <w:color w:val="000000" w:themeColor="text1"/>
          <w:sz w:val="22"/>
          <w:szCs w:val="22"/>
        </w:rPr>
        <w:t xml:space="preserve"> </w:t>
      </w:r>
      <w:r w:rsidRPr="00EC3A09">
        <w:rPr>
          <w:color w:val="000000" w:themeColor="text1"/>
          <w:sz w:val="22"/>
          <w:szCs w:val="22"/>
        </w:rPr>
        <w:t xml:space="preserve">evidence from a new global dataset of gender-attentive truth commissions, prosecutions, and reparations policies to </w:t>
      </w:r>
      <w:r w:rsidR="001E6215">
        <w:rPr>
          <w:color w:val="000000" w:themeColor="text1"/>
          <w:sz w:val="22"/>
          <w:szCs w:val="22"/>
        </w:rPr>
        <w:t xml:space="preserve">present </w:t>
      </w:r>
      <w:r>
        <w:rPr>
          <w:color w:val="000000" w:themeColor="text1"/>
          <w:sz w:val="22"/>
          <w:szCs w:val="22"/>
        </w:rPr>
        <w:t xml:space="preserve">global trends in gender and TJ and </w:t>
      </w:r>
      <w:r w:rsidR="001E6215">
        <w:rPr>
          <w:color w:val="000000" w:themeColor="text1"/>
          <w:sz w:val="22"/>
          <w:szCs w:val="22"/>
        </w:rPr>
        <w:t>explore various arguments in the gender literature. We find that gender was absent from TJ in the period from 1970-1990, but that more attention to gender began in the 1990s and has been sustained since that time. Initial attention to gender focused primarily on violence against women, but more recently, some limited attention to broader understandings of gender that include men and boys as well as LGBT</w:t>
      </w:r>
      <w:r w:rsidR="00175695">
        <w:rPr>
          <w:color w:val="000000" w:themeColor="text1"/>
          <w:sz w:val="22"/>
          <w:szCs w:val="22"/>
        </w:rPr>
        <w:t>QI+</w:t>
      </w:r>
      <w:r w:rsidR="001E6215">
        <w:rPr>
          <w:color w:val="000000" w:themeColor="text1"/>
          <w:sz w:val="22"/>
          <w:szCs w:val="22"/>
        </w:rPr>
        <w:t xml:space="preserve"> individuals have started to appear. W</w:t>
      </w:r>
      <w:r w:rsidR="001E6215" w:rsidRPr="00EC3A09">
        <w:rPr>
          <w:color w:val="000000" w:themeColor="text1"/>
          <w:sz w:val="22"/>
          <w:szCs w:val="22"/>
        </w:rPr>
        <w:t xml:space="preserve">e argue that the </w:t>
      </w:r>
      <w:r w:rsidR="001E6215">
        <w:rPr>
          <w:color w:val="000000" w:themeColor="text1"/>
          <w:sz w:val="22"/>
          <w:szCs w:val="22"/>
        </w:rPr>
        <w:t xml:space="preserve">early </w:t>
      </w:r>
      <w:r w:rsidR="001E6215" w:rsidRPr="00EC3A09">
        <w:rPr>
          <w:color w:val="000000" w:themeColor="text1"/>
          <w:sz w:val="22"/>
          <w:szCs w:val="22"/>
        </w:rPr>
        <w:t xml:space="preserve">efforts of </w:t>
      </w:r>
      <w:r w:rsidR="001E6215">
        <w:rPr>
          <w:color w:val="000000" w:themeColor="text1"/>
          <w:sz w:val="22"/>
          <w:szCs w:val="22"/>
        </w:rPr>
        <w:t xml:space="preserve">feminist </w:t>
      </w:r>
      <w:r w:rsidR="001E6215" w:rsidRPr="00EC3A09">
        <w:rPr>
          <w:color w:val="000000" w:themeColor="text1"/>
          <w:sz w:val="22"/>
          <w:szCs w:val="22"/>
        </w:rPr>
        <w:t xml:space="preserve">activists </w:t>
      </w:r>
      <w:r w:rsidR="001E6215">
        <w:rPr>
          <w:color w:val="000000" w:themeColor="text1"/>
          <w:sz w:val="22"/>
          <w:szCs w:val="22"/>
        </w:rPr>
        <w:t xml:space="preserve">in countries both in the Global North and the Global South </w:t>
      </w:r>
      <w:r w:rsidR="001E6215" w:rsidRPr="00EC3A09">
        <w:rPr>
          <w:color w:val="000000" w:themeColor="text1"/>
          <w:sz w:val="22"/>
          <w:szCs w:val="22"/>
        </w:rPr>
        <w:t>to frame and set the global agenda on violence against women subsequently shaped both when transitional justice policies became gender-attentive and how these policies have diffused across countries.</w:t>
      </w:r>
      <w:r w:rsidR="001E6215" w:rsidRPr="001E6215">
        <w:rPr>
          <w:rFonts w:ascii="Helvetica" w:eastAsiaTheme="minorHAnsi" w:hAnsi="Helvetica" w:cs="Helvetica"/>
          <w:color w:val="000000"/>
        </w:rPr>
        <w:t xml:space="preserve"> </w:t>
      </w:r>
    </w:p>
    <w:p w14:paraId="58F70C19" w14:textId="77777777" w:rsidR="000B1EF6" w:rsidRDefault="000B1EF6" w:rsidP="00B55ADC">
      <w:pPr>
        <w:ind w:right="720"/>
        <w:rPr>
          <w:color w:val="000000" w:themeColor="text1"/>
          <w:sz w:val="22"/>
          <w:szCs w:val="22"/>
        </w:rPr>
      </w:pPr>
    </w:p>
    <w:p w14:paraId="0F9BB242" w14:textId="77777777" w:rsidR="009B6C8A" w:rsidRDefault="009B6C8A"/>
    <w:p w14:paraId="5FDB04F6" w14:textId="010CD82E" w:rsidR="00C17251" w:rsidRPr="00873D97" w:rsidRDefault="009B6C8A">
      <w:pPr>
        <w:rPr>
          <w:sz w:val="22"/>
          <w:szCs w:val="22"/>
        </w:rPr>
      </w:pPr>
      <w:r w:rsidRPr="00873D97">
        <w:rPr>
          <w:b/>
          <w:bCs/>
          <w:sz w:val="22"/>
          <w:szCs w:val="22"/>
        </w:rPr>
        <w:t>Keywords:</w:t>
      </w:r>
      <w:r w:rsidRPr="00873D97">
        <w:rPr>
          <w:sz w:val="22"/>
          <w:szCs w:val="22"/>
        </w:rPr>
        <w:t xml:space="preserve"> Gender; </w:t>
      </w:r>
      <w:r w:rsidR="004E4C2B" w:rsidRPr="00873D97">
        <w:rPr>
          <w:sz w:val="22"/>
          <w:szCs w:val="22"/>
        </w:rPr>
        <w:t>Transitional Justice</w:t>
      </w:r>
      <w:r w:rsidRPr="00873D97">
        <w:rPr>
          <w:sz w:val="22"/>
          <w:szCs w:val="22"/>
        </w:rPr>
        <w:t xml:space="preserve">; Trials; Reparations; Truth Commissions. </w:t>
      </w:r>
    </w:p>
    <w:p w14:paraId="7BB94079" w14:textId="77777777" w:rsidR="0024055B" w:rsidRDefault="0024055B" w:rsidP="001D44B7">
      <w:pPr>
        <w:rPr>
          <w:b/>
          <w:bCs/>
          <w:sz w:val="28"/>
          <w:szCs w:val="28"/>
        </w:rPr>
      </w:pPr>
    </w:p>
    <w:p w14:paraId="091B65C1" w14:textId="752D0091" w:rsidR="00EB7214" w:rsidRPr="00EB7214" w:rsidRDefault="00EB7214" w:rsidP="001D44B7">
      <w:pPr>
        <w:rPr>
          <w:b/>
          <w:bCs/>
          <w:sz w:val="22"/>
          <w:szCs w:val="22"/>
        </w:rPr>
      </w:pPr>
    </w:p>
    <w:p w14:paraId="37CE2373" w14:textId="77777777" w:rsidR="00F862DF" w:rsidRDefault="00F862DF">
      <w:pPr>
        <w:rPr>
          <w:b/>
          <w:bCs/>
          <w:sz w:val="28"/>
          <w:szCs w:val="28"/>
        </w:rPr>
      </w:pPr>
      <w:r>
        <w:rPr>
          <w:b/>
          <w:bCs/>
          <w:sz w:val="28"/>
          <w:szCs w:val="28"/>
        </w:rPr>
        <w:br w:type="page"/>
      </w:r>
    </w:p>
    <w:p w14:paraId="67D5BB0C" w14:textId="5BCBE2F1" w:rsidR="001D44B7" w:rsidRPr="00C06FEF" w:rsidRDefault="00476BA7" w:rsidP="00526055">
      <w:pPr>
        <w:spacing w:line="480" w:lineRule="auto"/>
        <w:rPr>
          <w:b/>
          <w:bCs/>
        </w:rPr>
      </w:pPr>
      <w:r w:rsidRPr="00C06FEF">
        <w:rPr>
          <w:b/>
          <w:bCs/>
        </w:rPr>
        <w:lastRenderedPageBreak/>
        <w:t xml:space="preserve">1. </w:t>
      </w:r>
      <w:r w:rsidR="00685241" w:rsidRPr="00C06FEF">
        <w:rPr>
          <w:b/>
          <w:bCs/>
        </w:rPr>
        <w:t xml:space="preserve">Introduction </w:t>
      </w:r>
    </w:p>
    <w:p w14:paraId="5E98B8F2" w14:textId="1F6A6558" w:rsidR="00DD4C0A" w:rsidRPr="00C06FEF" w:rsidRDefault="001D44B7" w:rsidP="00526055">
      <w:pPr>
        <w:pStyle w:val="NormalWeb"/>
        <w:spacing w:before="0" w:beforeAutospacing="0" w:after="0" w:afterAutospacing="0" w:line="480" w:lineRule="auto"/>
        <w:ind w:firstLine="720"/>
        <w:rPr>
          <w:sz w:val="22"/>
          <w:szCs w:val="22"/>
        </w:rPr>
      </w:pPr>
      <w:r w:rsidRPr="00C06FEF">
        <w:rPr>
          <w:sz w:val="22"/>
          <w:szCs w:val="22"/>
        </w:rPr>
        <w:t>Gender, the socially constructed roles, status, and identities of girls, women, boys, men, and gender-diverse people in society,</w:t>
      </w:r>
      <w:r w:rsidRPr="00C06FEF">
        <w:rPr>
          <w:rStyle w:val="FootnoteReference"/>
          <w:sz w:val="22"/>
          <w:szCs w:val="22"/>
        </w:rPr>
        <w:footnoteReference w:id="3"/>
      </w:r>
      <w:r w:rsidRPr="00C06FEF">
        <w:rPr>
          <w:sz w:val="22"/>
          <w:szCs w:val="22"/>
        </w:rPr>
        <w:t xml:space="preserve"> has been a central focus of the </w:t>
      </w:r>
      <w:r w:rsidRPr="00C06FEF">
        <w:rPr>
          <w:i/>
          <w:iCs/>
          <w:sz w:val="22"/>
          <w:szCs w:val="22"/>
        </w:rPr>
        <w:t>International Journal of Transitional Justice</w:t>
      </w:r>
      <w:r w:rsidRPr="00C06FEF">
        <w:rPr>
          <w:sz w:val="22"/>
          <w:szCs w:val="22"/>
        </w:rPr>
        <w:t xml:space="preserve"> </w:t>
      </w:r>
      <w:r w:rsidR="00F97E4F" w:rsidRPr="00C06FEF">
        <w:rPr>
          <w:sz w:val="22"/>
          <w:szCs w:val="22"/>
        </w:rPr>
        <w:t xml:space="preserve">since its inception. </w:t>
      </w:r>
      <w:r w:rsidR="00135BE6" w:rsidRPr="00C06FEF">
        <w:rPr>
          <w:sz w:val="22"/>
          <w:szCs w:val="22"/>
        </w:rPr>
        <w:t>IJTJ</w:t>
      </w:r>
      <w:r w:rsidR="00DD4C0A" w:rsidRPr="00C06FEF">
        <w:rPr>
          <w:sz w:val="22"/>
          <w:szCs w:val="22"/>
        </w:rPr>
        <w:t>’s</w:t>
      </w:r>
      <w:r w:rsidRPr="00C06FEF">
        <w:rPr>
          <w:sz w:val="22"/>
          <w:szCs w:val="22"/>
        </w:rPr>
        <w:t xml:space="preserve"> </w:t>
      </w:r>
      <w:r w:rsidR="00F97E4F" w:rsidRPr="00C06FEF">
        <w:rPr>
          <w:sz w:val="22"/>
          <w:szCs w:val="22"/>
        </w:rPr>
        <w:t xml:space="preserve">first issue featured an essay on Feminism and </w:t>
      </w:r>
      <w:r w:rsidRPr="00C06FEF">
        <w:rPr>
          <w:sz w:val="22"/>
          <w:szCs w:val="22"/>
        </w:rPr>
        <w:t>Transitional Justice (TJ)</w:t>
      </w:r>
      <w:r w:rsidR="008671EC" w:rsidRPr="00C06FEF">
        <w:rPr>
          <w:sz w:val="22"/>
          <w:szCs w:val="22"/>
        </w:rPr>
        <w:t>,</w:t>
      </w:r>
      <w:r w:rsidR="00F97E4F" w:rsidRPr="00C06FEF">
        <w:rPr>
          <w:rStyle w:val="FootnoteReference"/>
          <w:sz w:val="22"/>
          <w:szCs w:val="22"/>
        </w:rPr>
        <w:footnoteReference w:id="4"/>
      </w:r>
      <w:r w:rsidR="00F97E4F" w:rsidRPr="00C06FEF">
        <w:rPr>
          <w:sz w:val="22"/>
          <w:szCs w:val="22"/>
        </w:rPr>
        <w:t xml:space="preserve"> and the journal’s first special issue was devoted to Gender and T</w:t>
      </w:r>
      <w:r w:rsidRPr="00C06FEF">
        <w:rPr>
          <w:sz w:val="22"/>
          <w:szCs w:val="22"/>
        </w:rPr>
        <w:t>J</w:t>
      </w:r>
      <w:r w:rsidR="00F97E4F" w:rsidRPr="00C06FEF">
        <w:rPr>
          <w:sz w:val="22"/>
          <w:szCs w:val="22"/>
        </w:rPr>
        <w:t>.</w:t>
      </w:r>
      <w:r w:rsidR="00F97E4F" w:rsidRPr="00C06FEF">
        <w:rPr>
          <w:rStyle w:val="FootnoteReference"/>
          <w:sz w:val="22"/>
          <w:szCs w:val="22"/>
        </w:rPr>
        <w:footnoteReference w:id="5"/>
      </w:r>
      <w:r w:rsidR="00F97E4F" w:rsidRPr="00C06FEF">
        <w:rPr>
          <w:sz w:val="22"/>
          <w:szCs w:val="22"/>
        </w:rPr>
        <w:t xml:space="preserve">  </w:t>
      </w:r>
      <w:r w:rsidR="00135BE6" w:rsidRPr="00C06FEF">
        <w:rPr>
          <w:sz w:val="22"/>
          <w:szCs w:val="22"/>
        </w:rPr>
        <w:t>T</w:t>
      </w:r>
      <w:r w:rsidR="00F97E4F" w:rsidRPr="00C06FEF">
        <w:rPr>
          <w:sz w:val="22"/>
          <w:szCs w:val="22"/>
        </w:rPr>
        <w:t>he journal has published outstanding articles on a range of gender issues</w:t>
      </w:r>
      <w:r w:rsidR="00DD4C0A" w:rsidRPr="00C06FEF">
        <w:rPr>
          <w:sz w:val="22"/>
          <w:szCs w:val="22"/>
        </w:rPr>
        <w:t xml:space="preserve"> and TJ mechanisms</w:t>
      </w:r>
      <w:r w:rsidR="00F97E4F" w:rsidRPr="00C06FEF">
        <w:rPr>
          <w:sz w:val="22"/>
          <w:szCs w:val="22"/>
        </w:rPr>
        <w:t xml:space="preserve"> </w:t>
      </w:r>
      <w:r w:rsidR="00DD4C0A" w:rsidRPr="00C06FEF">
        <w:rPr>
          <w:sz w:val="22"/>
          <w:szCs w:val="22"/>
        </w:rPr>
        <w:t xml:space="preserve">across a diversity of </w:t>
      </w:r>
      <w:r w:rsidR="00F97E4F" w:rsidRPr="00C06FEF">
        <w:rPr>
          <w:sz w:val="22"/>
          <w:szCs w:val="22"/>
        </w:rPr>
        <w:t>countries</w:t>
      </w:r>
      <w:r w:rsidR="00DD4C0A" w:rsidRPr="00C06FEF">
        <w:rPr>
          <w:sz w:val="22"/>
          <w:szCs w:val="22"/>
        </w:rPr>
        <w:t xml:space="preserve"> and contexts. </w:t>
      </w:r>
    </w:p>
    <w:p w14:paraId="609A7474" w14:textId="44ED56B2" w:rsidR="00E876B1" w:rsidRPr="00C06FEF" w:rsidRDefault="00DD4C0A" w:rsidP="00526055">
      <w:pPr>
        <w:pStyle w:val="NormalWeb"/>
        <w:tabs>
          <w:tab w:val="left" w:pos="19300"/>
        </w:tabs>
        <w:spacing w:before="0" w:beforeAutospacing="0" w:after="0" w:afterAutospacing="0" w:line="480" w:lineRule="auto"/>
        <w:ind w:firstLine="720"/>
        <w:rPr>
          <w:rStyle w:val="highlight"/>
          <w:sz w:val="22"/>
          <w:szCs w:val="22"/>
        </w:rPr>
      </w:pPr>
      <w:r w:rsidRPr="00C06FEF">
        <w:rPr>
          <w:sz w:val="22"/>
          <w:szCs w:val="22"/>
        </w:rPr>
        <w:t>These publications</w:t>
      </w:r>
      <w:r w:rsidR="00364FD8" w:rsidRPr="00C06FEF">
        <w:rPr>
          <w:sz w:val="22"/>
          <w:szCs w:val="22"/>
        </w:rPr>
        <w:t>, as well as important research published elsewhere,</w:t>
      </w:r>
      <w:r w:rsidRPr="00C06FEF">
        <w:rPr>
          <w:sz w:val="22"/>
          <w:szCs w:val="22"/>
        </w:rPr>
        <w:t xml:space="preserve"> have advanced theoretical arguments and critiques of</w:t>
      </w:r>
      <w:r w:rsidR="002678C7" w:rsidRPr="00C06FEF">
        <w:rPr>
          <w:sz w:val="22"/>
          <w:szCs w:val="22"/>
        </w:rPr>
        <w:t xml:space="preserve"> </w:t>
      </w:r>
      <w:r w:rsidR="00F9021A" w:rsidRPr="00C06FEF">
        <w:rPr>
          <w:sz w:val="22"/>
          <w:szCs w:val="22"/>
        </w:rPr>
        <w:t xml:space="preserve">the relationship between </w:t>
      </w:r>
      <w:r w:rsidR="002678C7" w:rsidRPr="00C06FEF">
        <w:rPr>
          <w:sz w:val="22"/>
          <w:szCs w:val="22"/>
        </w:rPr>
        <w:t xml:space="preserve">gender </w:t>
      </w:r>
      <w:r w:rsidR="00F9021A" w:rsidRPr="00C06FEF">
        <w:rPr>
          <w:sz w:val="22"/>
          <w:szCs w:val="22"/>
        </w:rPr>
        <w:t>and</w:t>
      </w:r>
      <w:r w:rsidR="002678C7" w:rsidRPr="00C06FEF">
        <w:rPr>
          <w:sz w:val="22"/>
          <w:szCs w:val="22"/>
        </w:rPr>
        <w:t xml:space="preserve"> the practice of </w:t>
      </w:r>
      <w:r w:rsidR="00BD416A" w:rsidRPr="00C06FEF">
        <w:rPr>
          <w:sz w:val="22"/>
          <w:szCs w:val="22"/>
        </w:rPr>
        <w:t>TJ</w:t>
      </w:r>
      <w:r w:rsidR="002678C7" w:rsidRPr="00C06FEF">
        <w:rPr>
          <w:sz w:val="22"/>
          <w:szCs w:val="22"/>
        </w:rPr>
        <w:t>. For example, authors have argued that women’s experiences of harm have been “ignored and/or sidelined,” and gender has been given “only limited attention” in transitional justice policies.</w:t>
      </w:r>
      <w:r w:rsidR="002678C7" w:rsidRPr="00C06FEF">
        <w:rPr>
          <w:rStyle w:val="FootnoteReference"/>
          <w:sz w:val="22"/>
          <w:szCs w:val="22"/>
        </w:rPr>
        <w:footnoteReference w:id="6"/>
      </w:r>
      <w:r w:rsidR="002678C7" w:rsidRPr="00C06FEF">
        <w:rPr>
          <w:sz w:val="22"/>
          <w:szCs w:val="22"/>
        </w:rPr>
        <w:t xml:space="preserve"> Others contend that when gender has been included in transitional justice, it has focused on an “overly narrow understanding of harms,” in particular sexual violence, especially rape.</w:t>
      </w:r>
      <w:r w:rsidR="002678C7" w:rsidRPr="00C06FEF">
        <w:rPr>
          <w:rStyle w:val="FootnoteReference"/>
          <w:sz w:val="22"/>
          <w:szCs w:val="22"/>
        </w:rPr>
        <w:footnoteReference w:id="7"/>
      </w:r>
      <w:r w:rsidR="002678C7" w:rsidRPr="00C06FEF">
        <w:rPr>
          <w:sz w:val="22"/>
          <w:szCs w:val="22"/>
        </w:rPr>
        <w:t xml:space="preserve">  Scholars </w:t>
      </w:r>
      <w:r w:rsidR="008A1C06">
        <w:rPr>
          <w:sz w:val="22"/>
          <w:szCs w:val="22"/>
        </w:rPr>
        <w:t xml:space="preserve">argue </w:t>
      </w:r>
      <w:r w:rsidR="002678C7" w:rsidRPr="00C06FEF">
        <w:rPr>
          <w:sz w:val="22"/>
          <w:szCs w:val="22"/>
        </w:rPr>
        <w:t>that transitional justice practices define gender as sex and pay little attention to the suffering of other groups, including men, boys, and sexual minorities</w:t>
      </w:r>
      <w:r w:rsidR="002678C7" w:rsidRPr="00C06FEF">
        <w:rPr>
          <w:rStyle w:val="highlight"/>
          <w:sz w:val="22"/>
          <w:szCs w:val="22"/>
        </w:rPr>
        <w:t>.</w:t>
      </w:r>
      <w:r w:rsidR="002678C7" w:rsidRPr="00C06FEF">
        <w:rPr>
          <w:rStyle w:val="FootnoteReference"/>
          <w:sz w:val="22"/>
          <w:szCs w:val="22"/>
        </w:rPr>
        <w:footnoteReference w:id="8"/>
      </w:r>
      <w:r w:rsidR="002678C7" w:rsidRPr="00C06FEF">
        <w:rPr>
          <w:rStyle w:val="highlight"/>
          <w:sz w:val="22"/>
          <w:szCs w:val="22"/>
        </w:rPr>
        <w:t xml:space="preserve"> Much of this literature explicitly or implicitly assumes that there is a hierarchy of harms </w:t>
      </w:r>
      <w:r w:rsidR="002678C7" w:rsidRPr="00C06FEF">
        <w:rPr>
          <w:rStyle w:val="highlight"/>
          <w:sz w:val="22"/>
          <w:szCs w:val="22"/>
        </w:rPr>
        <w:lastRenderedPageBreak/>
        <w:t>where attention to one kind of gender-related violence, such as rape, crowds out attention to other gender issues or comes at the expense of transformative justice or addressing the root causes of violence.</w:t>
      </w:r>
      <w:r w:rsidR="002678C7" w:rsidRPr="00C06FEF">
        <w:rPr>
          <w:rStyle w:val="FootnoteReference"/>
          <w:sz w:val="22"/>
          <w:szCs w:val="22"/>
        </w:rPr>
        <w:footnoteReference w:id="9"/>
      </w:r>
      <w:r w:rsidR="002678C7" w:rsidRPr="00C06FEF">
        <w:rPr>
          <w:rStyle w:val="highlight"/>
          <w:sz w:val="22"/>
          <w:szCs w:val="22"/>
        </w:rPr>
        <w:t xml:space="preserve">  </w:t>
      </w:r>
    </w:p>
    <w:p w14:paraId="2BCF0B31" w14:textId="401F25D6" w:rsidR="000846F9" w:rsidRPr="00C06FEF" w:rsidRDefault="00A96B9E" w:rsidP="00526055">
      <w:pPr>
        <w:pStyle w:val="NormalWeb"/>
        <w:tabs>
          <w:tab w:val="left" w:pos="19300"/>
        </w:tabs>
        <w:spacing w:before="0" w:beforeAutospacing="0" w:after="0" w:afterAutospacing="0" w:line="480" w:lineRule="auto"/>
        <w:ind w:firstLine="720"/>
        <w:rPr>
          <w:sz w:val="22"/>
          <w:szCs w:val="22"/>
        </w:rPr>
      </w:pPr>
      <w:r w:rsidRPr="00C06FEF">
        <w:rPr>
          <w:rStyle w:val="highlight"/>
          <w:sz w:val="22"/>
          <w:szCs w:val="22"/>
        </w:rPr>
        <w:t>W</w:t>
      </w:r>
      <w:r w:rsidR="00F46011" w:rsidRPr="00C06FEF">
        <w:rPr>
          <w:rStyle w:val="highlight"/>
          <w:sz w:val="22"/>
          <w:szCs w:val="22"/>
        </w:rPr>
        <w:t>hile t</w:t>
      </w:r>
      <w:r w:rsidRPr="00C06FEF">
        <w:rPr>
          <w:rStyle w:val="highlight"/>
          <w:sz w:val="22"/>
          <w:szCs w:val="22"/>
        </w:rPr>
        <w:t xml:space="preserve">hese critiques are instructive, they are </w:t>
      </w:r>
      <w:r w:rsidR="007F2058" w:rsidRPr="00C06FEF">
        <w:rPr>
          <w:rStyle w:val="highlight"/>
          <w:sz w:val="22"/>
          <w:szCs w:val="22"/>
        </w:rPr>
        <w:t>limit</w:t>
      </w:r>
      <w:r w:rsidR="00B35638" w:rsidRPr="00C06FEF">
        <w:rPr>
          <w:rStyle w:val="highlight"/>
          <w:sz w:val="22"/>
          <w:szCs w:val="22"/>
        </w:rPr>
        <w:t>ed in</w:t>
      </w:r>
      <w:r w:rsidR="007F2058" w:rsidRPr="00C06FEF">
        <w:rPr>
          <w:rStyle w:val="highlight"/>
          <w:sz w:val="22"/>
          <w:szCs w:val="22"/>
        </w:rPr>
        <w:t xml:space="preserve"> their ability to place</w:t>
      </w:r>
      <w:r w:rsidRPr="00C06FEF">
        <w:rPr>
          <w:rStyle w:val="highlight"/>
          <w:sz w:val="22"/>
          <w:szCs w:val="22"/>
        </w:rPr>
        <w:t xml:space="preserve"> </w:t>
      </w:r>
      <w:r w:rsidR="007F2058" w:rsidRPr="00C06FEF">
        <w:rPr>
          <w:sz w:val="22"/>
          <w:szCs w:val="22"/>
        </w:rPr>
        <w:t xml:space="preserve">the practice of TJ in </w:t>
      </w:r>
      <w:r w:rsidR="00F57070">
        <w:rPr>
          <w:sz w:val="22"/>
          <w:szCs w:val="22"/>
        </w:rPr>
        <w:t xml:space="preserve">broad </w:t>
      </w:r>
      <w:r w:rsidR="007F2058" w:rsidRPr="00C06FEF">
        <w:rPr>
          <w:sz w:val="22"/>
          <w:szCs w:val="22"/>
        </w:rPr>
        <w:t xml:space="preserve">historical </w:t>
      </w:r>
      <w:r w:rsidR="00F57070">
        <w:rPr>
          <w:sz w:val="22"/>
          <w:szCs w:val="22"/>
        </w:rPr>
        <w:t xml:space="preserve">and comparative </w:t>
      </w:r>
      <w:r w:rsidR="007F2058" w:rsidRPr="00C06FEF">
        <w:rPr>
          <w:sz w:val="22"/>
          <w:szCs w:val="22"/>
        </w:rPr>
        <w:t>perspective.</w:t>
      </w:r>
      <w:r w:rsidR="00856261" w:rsidRPr="00C06FEF">
        <w:rPr>
          <w:rStyle w:val="highlight"/>
          <w:sz w:val="22"/>
          <w:szCs w:val="22"/>
        </w:rPr>
        <w:t xml:space="preserve"> </w:t>
      </w:r>
      <w:r w:rsidR="002C72BF" w:rsidRPr="00C06FEF">
        <w:rPr>
          <w:sz w:val="22"/>
          <w:szCs w:val="22"/>
        </w:rPr>
        <w:t>Many are based on single</w:t>
      </w:r>
      <w:r w:rsidR="0092635F">
        <w:rPr>
          <w:sz w:val="22"/>
          <w:szCs w:val="22"/>
        </w:rPr>
        <w:t>-country case studies, multiple-</w:t>
      </w:r>
      <w:r w:rsidR="002C72BF" w:rsidRPr="00C06FEF">
        <w:rPr>
          <w:sz w:val="22"/>
          <w:szCs w:val="22"/>
        </w:rPr>
        <w:t>country cases,</w:t>
      </w:r>
      <w:r w:rsidR="002C72BF" w:rsidRPr="00C06FEF">
        <w:rPr>
          <w:rStyle w:val="FootnoteReference"/>
          <w:sz w:val="22"/>
          <w:szCs w:val="22"/>
        </w:rPr>
        <w:footnoteReference w:id="10"/>
      </w:r>
      <w:r w:rsidR="002C72BF" w:rsidRPr="00C06FEF">
        <w:rPr>
          <w:sz w:val="22"/>
          <w:szCs w:val="22"/>
        </w:rPr>
        <w:t xml:space="preserve"> structured comparative country studies,</w:t>
      </w:r>
      <w:r w:rsidR="002C72BF" w:rsidRPr="00C06FEF">
        <w:rPr>
          <w:rStyle w:val="FootnoteReference"/>
          <w:sz w:val="22"/>
          <w:szCs w:val="22"/>
        </w:rPr>
        <w:footnoteReference w:id="11"/>
      </w:r>
      <w:r w:rsidR="002C72BF" w:rsidRPr="00C06FEF">
        <w:rPr>
          <w:sz w:val="22"/>
          <w:szCs w:val="22"/>
        </w:rPr>
        <w:t xml:space="preserve"> or a qualitative overview of the field at a particular moment in time.</w:t>
      </w:r>
      <w:r w:rsidR="002C72BF" w:rsidRPr="00C06FEF">
        <w:rPr>
          <w:rStyle w:val="FootnoteReference"/>
          <w:sz w:val="22"/>
          <w:szCs w:val="22"/>
        </w:rPr>
        <w:footnoteReference w:id="12"/>
      </w:r>
      <w:r w:rsidR="002C72BF" w:rsidRPr="00C06FEF">
        <w:rPr>
          <w:sz w:val="22"/>
          <w:szCs w:val="22"/>
        </w:rPr>
        <w:t xml:space="preserve"> Other critiques have focused </w:t>
      </w:r>
      <w:r w:rsidR="00364FD8" w:rsidRPr="00C06FEF">
        <w:rPr>
          <w:sz w:val="22"/>
          <w:szCs w:val="22"/>
        </w:rPr>
        <w:t xml:space="preserve">exclusively </w:t>
      </w:r>
      <w:r w:rsidR="002C72BF" w:rsidRPr="00C06FEF">
        <w:rPr>
          <w:sz w:val="22"/>
          <w:szCs w:val="22"/>
        </w:rPr>
        <w:t>on attention to gender</w:t>
      </w:r>
      <w:r w:rsidR="00C70E4C" w:rsidRPr="00C06FEF">
        <w:rPr>
          <w:sz w:val="22"/>
          <w:szCs w:val="22"/>
        </w:rPr>
        <w:t>-based</w:t>
      </w:r>
      <w:r w:rsidR="002C72BF" w:rsidRPr="00C06FEF">
        <w:rPr>
          <w:sz w:val="22"/>
          <w:szCs w:val="22"/>
        </w:rPr>
        <w:t xml:space="preserve"> violence during conflict at international criminal tribunals, especially the ICC.</w:t>
      </w:r>
      <w:r w:rsidR="002C72BF" w:rsidRPr="00C06FEF">
        <w:rPr>
          <w:rStyle w:val="FootnoteReference"/>
          <w:sz w:val="22"/>
          <w:szCs w:val="22"/>
        </w:rPr>
        <w:footnoteReference w:id="13"/>
      </w:r>
      <w:r w:rsidR="00F9021A" w:rsidRPr="00C06FEF">
        <w:rPr>
          <w:sz w:val="22"/>
          <w:szCs w:val="22"/>
        </w:rPr>
        <w:t xml:space="preserve"> </w:t>
      </w:r>
      <w:r w:rsidR="001B6B75" w:rsidRPr="00C06FEF">
        <w:rPr>
          <w:sz w:val="22"/>
          <w:szCs w:val="22"/>
        </w:rPr>
        <w:t>In this article, w</w:t>
      </w:r>
      <w:r w:rsidR="006F06D2" w:rsidRPr="00C06FEF">
        <w:rPr>
          <w:sz w:val="22"/>
          <w:szCs w:val="22"/>
        </w:rPr>
        <w:t>e present</w:t>
      </w:r>
      <w:r w:rsidR="0024055B" w:rsidRPr="00C06FEF">
        <w:rPr>
          <w:sz w:val="22"/>
          <w:szCs w:val="22"/>
        </w:rPr>
        <w:t xml:space="preserve"> </w:t>
      </w:r>
      <w:r w:rsidR="006F06D2" w:rsidRPr="00C06FEF">
        <w:rPr>
          <w:sz w:val="22"/>
          <w:szCs w:val="22"/>
        </w:rPr>
        <w:lastRenderedPageBreak/>
        <w:t xml:space="preserve">a </w:t>
      </w:r>
      <w:r w:rsidR="008D7607">
        <w:rPr>
          <w:sz w:val="22"/>
          <w:szCs w:val="22"/>
        </w:rPr>
        <w:t xml:space="preserve">broad </w:t>
      </w:r>
      <w:r w:rsidR="006F06D2" w:rsidRPr="00C06FEF">
        <w:rPr>
          <w:sz w:val="22"/>
          <w:szCs w:val="22"/>
        </w:rPr>
        <w:t xml:space="preserve">survey of transitional justice </w:t>
      </w:r>
      <w:r w:rsidR="001B6B75" w:rsidRPr="00C06FEF">
        <w:rPr>
          <w:sz w:val="22"/>
          <w:szCs w:val="22"/>
        </w:rPr>
        <w:t xml:space="preserve">mechanisms’ attention to gender </w:t>
      </w:r>
      <w:r w:rsidR="006F06D2" w:rsidRPr="00C06FEF">
        <w:rPr>
          <w:sz w:val="22"/>
          <w:szCs w:val="22"/>
        </w:rPr>
        <w:t>in all transitional countries</w:t>
      </w:r>
      <w:r w:rsidR="0024055B" w:rsidRPr="00C06FEF">
        <w:rPr>
          <w:sz w:val="22"/>
          <w:szCs w:val="22"/>
        </w:rPr>
        <w:t xml:space="preserve">, the one type of article on gender and the practice of TJ that IJTJ has not previously published. </w:t>
      </w:r>
      <w:r w:rsidR="00946C8E" w:rsidRPr="00C06FEF">
        <w:rPr>
          <w:sz w:val="22"/>
          <w:szCs w:val="22"/>
        </w:rPr>
        <w:t>Our</w:t>
      </w:r>
      <w:r w:rsidR="006F06D2" w:rsidRPr="00C06FEF">
        <w:rPr>
          <w:sz w:val="22"/>
          <w:szCs w:val="22"/>
        </w:rPr>
        <w:t xml:space="preserve"> survey </w:t>
      </w:r>
      <w:r w:rsidR="00B72AF7" w:rsidRPr="00C06FEF">
        <w:rPr>
          <w:sz w:val="22"/>
          <w:szCs w:val="22"/>
        </w:rPr>
        <w:t xml:space="preserve">allows </w:t>
      </w:r>
      <w:r w:rsidR="006F06D2" w:rsidRPr="00C06FEF">
        <w:rPr>
          <w:sz w:val="22"/>
          <w:szCs w:val="22"/>
        </w:rPr>
        <w:t>us</w:t>
      </w:r>
      <w:r w:rsidR="00B72AF7" w:rsidRPr="00C06FEF">
        <w:rPr>
          <w:sz w:val="22"/>
          <w:szCs w:val="22"/>
        </w:rPr>
        <w:t xml:space="preserve"> to</w:t>
      </w:r>
      <w:r w:rsidR="006F06D2" w:rsidRPr="00C06FEF">
        <w:rPr>
          <w:sz w:val="22"/>
          <w:szCs w:val="22"/>
        </w:rPr>
        <w:t xml:space="preserve"> </w:t>
      </w:r>
      <w:r w:rsidR="001B6B75" w:rsidRPr="00C06FEF">
        <w:rPr>
          <w:sz w:val="22"/>
          <w:szCs w:val="22"/>
        </w:rPr>
        <w:t>assess how attention to gender in TJ has</w:t>
      </w:r>
      <w:r w:rsidR="006F06D2" w:rsidRPr="00C06FEF">
        <w:rPr>
          <w:sz w:val="22"/>
          <w:szCs w:val="22"/>
        </w:rPr>
        <w:t xml:space="preserve"> develop</w:t>
      </w:r>
      <w:r w:rsidR="001B6B75" w:rsidRPr="00C06FEF">
        <w:rPr>
          <w:sz w:val="22"/>
          <w:szCs w:val="22"/>
        </w:rPr>
        <w:t xml:space="preserve">ed over time and to </w:t>
      </w:r>
      <w:r w:rsidR="006F06D2" w:rsidRPr="00C06FEF">
        <w:rPr>
          <w:sz w:val="22"/>
          <w:szCs w:val="22"/>
        </w:rPr>
        <w:t xml:space="preserve">explore </w:t>
      </w:r>
      <w:r w:rsidR="00946C8E" w:rsidRPr="00C06FEF">
        <w:rPr>
          <w:sz w:val="22"/>
          <w:szCs w:val="22"/>
        </w:rPr>
        <w:t xml:space="preserve">the </w:t>
      </w:r>
      <w:r w:rsidR="006F06D2" w:rsidRPr="00C06FEF">
        <w:rPr>
          <w:sz w:val="22"/>
          <w:szCs w:val="22"/>
        </w:rPr>
        <w:t xml:space="preserve">arguments made in the wider TJ literature. </w:t>
      </w:r>
    </w:p>
    <w:p w14:paraId="1D4D1F13" w14:textId="2B3BD36B" w:rsidR="009D738F" w:rsidRPr="00C06FEF" w:rsidRDefault="00DA518F" w:rsidP="00526055">
      <w:pPr>
        <w:spacing w:line="480" w:lineRule="auto"/>
        <w:ind w:firstLine="720"/>
        <w:rPr>
          <w:sz w:val="22"/>
          <w:szCs w:val="22"/>
        </w:rPr>
      </w:pPr>
      <w:r w:rsidRPr="00C06FEF">
        <w:rPr>
          <w:sz w:val="22"/>
          <w:szCs w:val="22"/>
        </w:rPr>
        <w:t xml:space="preserve">We argue that more gender-attentive TJ policies </w:t>
      </w:r>
      <w:r w:rsidR="00C21801" w:rsidRPr="00C06FEF">
        <w:rPr>
          <w:sz w:val="22"/>
          <w:szCs w:val="22"/>
        </w:rPr>
        <w:t xml:space="preserve">emerged from </w:t>
      </w:r>
      <w:r w:rsidR="009F22A1" w:rsidRPr="00C06FEF">
        <w:rPr>
          <w:sz w:val="22"/>
          <w:szCs w:val="22"/>
        </w:rPr>
        <w:t xml:space="preserve">efforts by the feminist movement to frame and set the global agenda on violence against women in the 1980s and 1990s. </w:t>
      </w:r>
      <w:r w:rsidR="00507910" w:rsidRPr="00C06FEF">
        <w:rPr>
          <w:sz w:val="22"/>
          <w:szCs w:val="22"/>
        </w:rPr>
        <w:t xml:space="preserve">Early global feminist activism focused on </w:t>
      </w:r>
      <w:r w:rsidR="00C21801" w:rsidRPr="00C06FEF">
        <w:rPr>
          <w:sz w:val="22"/>
          <w:szCs w:val="22"/>
        </w:rPr>
        <w:t>advancing gender equality</w:t>
      </w:r>
      <w:r w:rsidR="002B2F97" w:rsidRPr="00C06FEF">
        <w:rPr>
          <w:sz w:val="22"/>
          <w:szCs w:val="22"/>
        </w:rPr>
        <w:t xml:space="preserve"> </w:t>
      </w:r>
      <w:r w:rsidR="00C21801" w:rsidRPr="00C06FEF">
        <w:rPr>
          <w:sz w:val="22"/>
          <w:szCs w:val="22"/>
        </w:rPr>
        <w:t xml:space="preserve">in </w:t>
      </w:r>
      <w:r w:rsidR="00D92943" w:rsidRPr="00C06FEF">
        <w:rPr>
          <w:sz w:val="22"/>
          <w:szCs w:val="22"/>
        </w:rPr>
        <w:t xml:space="preserve">the </w:t>
      </w:r>
      <w:r w:rsidR="00C21801" w:rsidRPr="00C06FEF">
        <w:rPr>
          <w:sz w:val="22"/>
          <w:szCs w:val="22"/>
        </w:rPr>
        <w:t xml:space="preserve">political, economic, and social spheres of life, </w:t>
      </w:r>
      <w:r w:rsidR="00707770" w:rsidRPr="00C06FEF">
        <w:rPr>
          <w:sz w:val="22"/>
          <w:szCs w:val="22"/>
        </w:rPr>
        <w:t xml:space="preserve">such as </w:t>
      </w:r>
      <w:r w:rsidR="00C21801" w:rsidRPr="00C06FEF">
        <w:rPr>
          <w:sz w:val="22"/>
          <w:szCs w:val="22"/>
        </w:rPr>
        <w:t xml:space="preserve">in the 1979 Convention on the Elimination of All Forms of Discrimination Against Women (CEDAW). </w:t>
      </w:r>
      <w:r w:rsidR="00E97EB3" w:rsidRPr="00C06FEF">
        <w:rPr>
          <w:sz w:val="22"/>
          <w:szCs w:val="22"/>
        </w:rPr>
        <w:t xml:space="preserve">CEDAW, however, does </w:t>
      </w:r>
      <w:r w:rsidR="00E97EB3" w:rsidRPr="00C06FEF">
        <w:rPr>
          <w:i/>
          <w:iCs/>
          <w:sz w:val="22"/>
          <w:szCs w:val="22"/>
        </w:rPr>
        <w:t xml:space="preserve">not </w:t>
      </w:r>
      <w:r w:rsidR="00E97EB3" w:rsidRPr="00C06FEF">
        <w:rPr>
          <w:sz w:val="22"/>
          <w:szCs w:val="22"/>
        </w:rPr>
        <w:t>mention rape or other forms of sexual and gender-based violence (SGBV), so i</w:t>
      </w:r>
      <w:r w:rsidR="00C21801" w:rsidRPr="00C06FEF">
        <w:rPr>
          <w:sz w:val="22"/>
          <w:szCs w:val="22"/>
        </w:rPr>
        <w:t xml:space="preserve">n the 1980s, activists </w:t>
      </w:r>
      <w:r w:rsidR="00996A1D" w:rsidRPr="00C06FEF">
        <w:rPr>
          <w:sz w:val="22"/>
          <w:szCs w:val="22"/>
        </w:rPr>
        <w:t>strove to</w:t>
      </w:r>
      <w:r w:rsidR="00E97EB3" w:rsidRPr="00C06FEF">
        <w:rPr>
          <w:sz w:val="22"/>
          <w:szCs w:val="22"/>
        </w:rPr>
        <w:t xml:space="preserve"> draw attention to </w:t>
      </w:r>
      <w:r w:rsidR="00C21801" w:rsidRPr="00C06FEF">
        <w:rPr>
          <w:sz w:val="22"/>
          <w:szCs w:val="22"/>
        </w:rPr>
        <w:t xml:space="preserve">violence against women. </w:t>
      </w:r>
      <w:r w:rsidR="00D92943" w:rsidRPr="00C06FEF">
        <w:rPr>
          <w:sz w:val="22"/>
          <w:szCs w:val="22"/>
        </w:rPr>
        <w:t xml:space="preserve">This activism was </w:t>
      </w:r>
      <w:r w:rsidR="0086545A" w:rsidRPr="00C06FEF">
        <w:rPr>
          <w:sz w:val="22"/>
          <w:szCs w:val="22"/>
        </w:rPr>
        <w:t>successful in generating attention to gender</w:t>
      </w:r>
      <w:r w:rsidR="00E97EB3" w:rsidRPr="00C06FEF">
        <w:rPr>
          <w:sz w:val="22"/>
          <w:szCs w:val="22"/>
        </w:rPr>
        <w:t xml:space="preserve"> violence</w:t>
      </w:r>
      <w:r w:rsidR="0086545A" w:rsidRPr="00C06FEF">
        <w:rPr>
          <w:sz w:val="22"/>
          <w:szCs w:val="22"/>
        </w:rPr>
        <w:t xml:space="preserve"> in domestic contexts</w:t>
      </w:r>
      <w:r w:rsidR="00FF0B9A" w:rsidRPr="00C06FEF">
        <w:rPr>
          <w:sz w:val="22"/>
          <w:szCs w:val="22"/>
        </w:rPr>
        <w:t>, especially in Latin America and Africa,</w:t>
      </w:r>
      <w:r w:rsidR="0086545A" w:rsidRPr="00C06FEF">
        <w:rPr>
          <w:sz w:val="22"/>
          <w:szCs w:val="22"/>
        </w:rPr>
        <w:t xml:space="preserve"> and </w:t>
      </w:r>
      <w:r w:rsidR="00FF0B9A" w:rsidRPr="00C06FEF">
        <w:rPr>
          <w:sz w:val="22"/>
          <w:szCs w:val="22"/>
        </w:rPr>
        <w:t>in placing violence against women on the global agenda in the early 1990s. This historical context is important because</w:t>
      </w:r>
      <w:r w:rsidR="009D738F" w:rsidRPr="00C06FEF">
        <w:rPr>
          <w:sz w:val="22"/>
          <w:szCs w:val="22"/>
        </w:rPr>
        <w:t xml:space="preserve"> it suggests how gender-attentive TJ </w:t>
      </w:r>
      <w:r w:rsidR="00B408E1" w:rsidRPr="00C06FEF">
        <w:rPr>
          <w:sz w:val="22"/>
          <w:szCs w:val="22"/>
        </w:rPr>
        <w:t>practices</w:t>
      </w:r>
      <w:r w:rsidR="00707770" w:rsidRPr="00C06FEF">
        <w:rPr>
          <w:sz w:val="22"/>
          <w:szCs w:val="22"/>
        </w:rPr>
        <w:t xml:space="preserve"> </w:t>
      </w:r>
      <w:r w:rsidR="002B2F97" w:rsidRPr="00C06FEF">
        <w:rPr>
          <w:sz w:val="22"/>
          <w:szCs w:val="22"/>
        </w:rPr>
        <w:t xml:space="preserve">grew </w:t>
      </w:r>
      <w:r w:rsidR="009D738F" w:rsidRPr="00C06FEF">
        <w:rPr>
          <w:sz w:val="22"/>
          <w:szCs w:val="22"/>
        </w:rPr>
        <w:t xml:space="preserve">from bottom-up </w:t>
      </w:r>
      <w:r w:rsidR="002B2F97" w:rsidRPr="00C06FEF">
        <w:rPr>
          <w:sz w:val="22"/>
          <w:szCs w:val="22"/>
        </w:rPr>
        <w:t>activis</w:t>
      </w:r>
      <w:r w:rsidR="00F3082A" w:rsidRPr="00C06FEF">
        <w:rPr>
          <w:sz w:val="22"/>
          <w:szCs w:val="22"/>
        </w:rPr>
        <w:t xml:space="preserve">m </w:t>
      </w:r>
      <w:r w:rsidR="009D738F" w:rsidRPr="00C06FEF">
        <w:rPr>
          <w:sz w:val="22"/>
          <w:szCs w:val="22"/>
        </w:rPr>
        <w:t xml:space="preserve">rather than </w:t>
      </w:r>
      <w:r w:rsidR="00117807">
        <w:rPr>
          <w:sz w:val="22"/>
          <w:szCs w:val="22"/>
        </w:rPr>
        <w:t xml:space="preserve">being </w:t>
      </w:r>
      <w:r w:rsidR="008606C9">
        <w:rPr>
          <w:sz w:val="22"/>
          <w:szCs w:val="22"/>
        </w:rPr>
        <w:t>solely</w:t>
      </w:r>
      <w:r w:rsidR="009D738F" w:rsidRPr="00C06FEF">
        <w:rPr>
          <w:sz w:val="22"/>
          <w:szCs w:val="22"/>
        </w:rPr>
        <w:t xml:space="preserve"> </w:t>
      </w:r>
      <w:r w:rsidR="008606C9">
        <w:rPr>
          <w:sz w:val="22"/>
          <w:szCs w:val="22"/>
        </w:rPr>
        <w:t xml:space="preserve">the product of Western </w:t>
      </w:r>
      <w:r w:rsidR="00117807">
        <w:rPr>
          <w:sz w:val="22"/>
          <w:szCs w:val="22"/>
        </w:rPr>
        <w:t xml:space="preserve">states </w:t>
      </w:r>
      <w:r w:rsidR="009D738F" w:rsidRPr="00C06FEF">
        <w:rPr>
          <w:sz w:val="22"/>
          <w:szCs w:val="22"/>
        </w:rPr>
        <w:t>or emerging from the aftermath of atrocities in Rwanda or the former Yugoslavia.</w:t>
      </w:r>
    </w:p>
    <w:p w14:paraId="17D1B531" w14:textId="0BC294BC" w:rsidR="00B72AF7" w:rsidRPr="00C06FEF" w:rsidRDefault="000846F9" w:rsidP="00526055">
      <w:pPr>
        <w:pStyle w:val="NormalWeb"/>
        <w:tabs>
          <w:tab w:val="left" w:pos="720"/>
        </w:tabs>
        <w:spacing w:before="0" w:beforeAutospacing="0" w:after="0" w:afterAutospacing="0" w:line="480" w:lineRule="auto"/>
        <w:rPr>
          <w:color w:val="000000" w:themeColor="text1"/>
          <w:sz w:val="22"/>
          <w:szCs w:val="22"/>
        </w:rPr>
      </w:pPr>
      <w:r w:rsidRPr="00C06FEF">
        <w:rPr>
          <w:color w:val="000000"/>
          <w:sz w:val="22"/>
          <w:szCs w:val="22"/>
        </w:rPr>
        <w:tab/>
      </w:r>
      <w:r w:rsidR="002B2F97" w:rsidRPr="00C06FEF">
        <w:rPr>
          <w:color w:val="000000"/>
          <w:sz w:val="22"/>
          <w:szCs w:val="22"/>
        </w:rPr>
        <w:t>To map the emergence of gender-attentive TJ</w:t>
      </w:r>
      <w:r w:rsidR="00B408E1" w:rsidRPr="00C06FEF">
        <w:rPr>
          <w:color w:val="000000"/>
          <w:sz w:val="22"/>
          <w:szCs w:val="22"/>
        </w:rPr>
        <w:t xml:space="preserve"> practices</w:t>
      </w:r>
      <w:r w:rsidR="002B2F97" w:rsidRPr="00C06FEF">
        <w:rPr>
          <w:color w:val="000000"/>
          <w:sz w:val="22"/>
          <w:szCs w:val="22"/>
        </w:rPr>
        <w:t>, w</w:t>
      </w:r>
      <w:r w:rsidR="007F2058" w:rsidRPr="00C06FEF">
        <w:rPr>
          <w:color w:val="000000"/>
          <w:sz w:val="22"/>
          <w:szCs w:val="22"/>
        </w:rPr>
        <w:t>e present data on all gender-attentive prosecutions, truth commissions, and reparations policies</w:t>
      </w:r>
      <w:r w:rsidR="0033052A">
        <w:rPr>
          <w:color w:val="000000"/>
          <w:sz w:val="22"/>
          <w:szCs w:val="22"/>
        </w:rPr>
        <w:t xml:space="preserve"> in our database</w:t>
      </w:r>
      <w:r w:rsidR="007F2058" w:rsidRPr="00C06FEF">
        <w:rPr>
          <w:color w:val="000000"/>
          <w:sz w:val="22"/>
          <w:szCs w:val="22"/>
        </w:rPr>
        <w:t xml:space="preserve"> </w:t>
      </w:r>
      <w:r w:rsidR="007E6D65">
        <w:rPr>
          <w:color w:val="000000"/>
          <w:sz w:val="22"/>
          <w:szCs w:val="22"/>
        </w:rPr>
        <w:t xml:space="preserve">occurring in or addressing </w:t>
      </w:r>
      <w:r w:rsidR="007F2058" w:rsidRPr="00C06FEF">
        <w:rPr>
          <w:color w:val="000000"/>
          <w:sz w:val="22"/>
          <w:szCs w:val="22"/>
        </w:rPr>
        <w:t xml:space="preserve">countries that transitioned </w:t>
      </w:r>
      <w:r w:rsidR="00263C0F" w:rsidRPr="00C06FEF">
        <w:rPr>
          <w:color w:val="000000"/>
          <w:sz w:val="22"/>
          <w:szCs w:val="22"/>
        </w:rPr>
        <w:t xml:space="preserve">from </w:t>
      </w:r>
      <w:r w:rsidR="007F2058" w:rsidRPr="00C06FEF">
        <w:rPr>
          <w:color w:val="000000"/>
          <w:sz w:val="22"/>
          <w:szCs w:val="22"/>
        </w:rPr>
        <w:t xml:space="preserve">conflict </w:t>
      </w:r>
      <w:r w:rsidR="00B74216" w:rsidRPr="00C06FEF">
        <w:rPr>
          <w:color w:val="000000"/>
          <w:sz w:val="22"/>
          <w:szCs w:val="22"/>
        </w:rPr>
        <w:t>and/</w:t>
      </w:r>
      <w:r w:rsidR="007F2058" w:rsidRPr="00C06FEF">
        <w:rPr>
          <w:color w:val="000000"/>
          <w:sz w:val="22"/>
          <w:szCs w:val="22"/>
        </w:rPr>
        <w:t xml:space="preserve">or authoritarianism </w:t>
      </w:r>
      <w:r w:rsidR="002B2F97" w:rsidRPr="00C06FEF">
        <w:rPr>
          <w:color w:val="000000"/>
          <w:sz w:val="22"/>
          <w:szCs w:val="22"/>
        </w:rPr>
        <w:t>from</w:t>
      </w:r>
      <w:r w:rsidR="007F2058" w:rsidRPr="00C06FEF">
        <w:rPr>
          <w:color w:val="000000"/>
          <w:sz w:val="22"/>
          <w:szCs w:val="22"/>
        </w:rPr>
        <w:t xml:space="preserve"> 1970 through 202</w:t>
      </w:r>
      <w:r w:rsidR="00B5115D" w:rsidRPr="00C06FEF">
        <w:rPr>
          <w:color w:val="000000"/>
          <w:sz w:val="22"/>
          <w:szCs w:val="22"/>
        </w:rPr>
        <w:t>0</w:t>
      </w:r>
      <w:r w:rsidR="007F2058" w:rsidRPr="00C06FEF">
        <w:rPr>
          <w:color w:val="000000"/>
          <w:sz w:val="22"/>
          <w:szCs w:val="22"/>
        </w:rPr>
        <w:t xml:space="preserve">. By “gender-attentive” we mean </w:t>
      </w:r>
      <w:r w:rsidR="008C6C0D" w:rsidRPr="00C06FEF">
        <w:rPr>
          <w:color w:val="000000"/>
          <w:sz w:val="22"/>
          <w:szCs w:val="22"/>
        </w:rPr>
        <w:t>TJ mechanisms</w:t>
      </w:r>
      <w:r w:rsidR="00B72AF7" w:rsidRPr="00C06FEF">
        <w:rPr>
          <w:color w:val="000000"/>
          <w:sz w:val="22"/>
          <w:szCs w:val="22"/>
        </w:rPr>
        <w:t xml:space="preserve"> that explicitly address gender injustices and gender-based violations. A gender-attentive mechanism</w:t>
      </w:r>
      <w:r w:rsidR="00D456D3" w:rsidRPr="00C06FEF">
        <w:rPr>
          <w:color w:val="000000"/>
          <w:sz w:val="22"/>
          <w:szCs w:val="22"/>
        </w:rPr>
        <w:t xml:space="preserve"> can</w:t>
      </w:r>
      <w:r w:rsidR="00B72AF7" w:rsidRPr="00C06FEF">
        <w:rPr>
          <w:color w:val="000000"/>
          <w:sz w:val="22"/>
          <w:szCs w:val="22"/>
        </w:rPr>
        <w:t xml:space="preserve"> include</w:t>
      </w:r>
      <w:r w:rsidR="0043319B">
        <w:rPr>
          <w:color w:val="000000"/>
          <w:sz w:val="22"/>
          <w:szCs w:val="22"/>
        </w:rPr>
        <w:t>,</w:t>
      </w:r>
      <w:r w:rsidR="00B72AF7" w:rsidRPr="00C06FEF">
        <w:rPr>
          <w:color w:val="000000"/>
          <w:sz w:val="22"/>
          <w:szCs w:val="22"/>
        </w:rPr>
        <w:t xml:space="preserve"> but is not limited to</w:t>
      </w:r>
      <w:r w:rsidR="0043319B">
        <w:rPr>
          <w:color w:val="000000"/>
          <w:sz w:val="22"/>
          <w:szCs w:val="22"/>
        </w:rPr>
        <w:t>,</w:t>
      </w:r>
      <w:r w:rsidR="00C94062">
        <w:rPr>
          <w:color w:val="000000"/>
          <w:sz w:val="22"/>
          <w:szCs w:val="22"/>
        </w:rPr>
        <w:t xml:space="preserve"> sexual and gender</w:t>
      </w:r>
      <w:r w:rsidR="00534AC4">
        <w:rPr>
          <w:color w:val="000000"/>
          <w:sz w:val="22"/>
          <w:szCs w:val="22"/>
        </w:rPr>
        <w:t>-</w:t>
      </w:r>
      <w:r w:rsidR="00C94062">
        <w:rPr>
          <w:color w:val="000000"/>
          <w:sz w:val="22"/>
          <w:szCs w:val="22"/>
        </w:rPr>
        <w:t>based violence</w:t>
      </w:r>
      <w:r w:rsidR="00B72AF7" w:rsidRPr="00C06FEF">
        <w:rPr>
          <w:color w:val="000000" w:themeColor="text1"/>
          <w:sz w:val="22"/>
          <w:szCs w:val="22"/>
        </w:rPr>
        <w:t xml:space="preserve">. </w:t>
      </w:r>
    </w:p>
    <w:p w14:paraId="09BB8432" w14:textId="774262A4" w:rsidR="00E53347" w:rsidRPr="00C06FEF" w:rsidRDefault="00652D8A" w:rsidP="000F2E3E">
      <w:pPr>
        <w:pStyle w:val="NormalWeb"/>
        <w:spacing w:before="0" w:beforeAutospacing="0" w:after="0" w:afterAutospacing="0" w:line="480" w:lineRule="auto"/>
        <w:ind w:firstLine="720"/>
        <w:rPr>
          <w:color w:val="000000" w:themeColor="text1"/>
          <w:sz w:val="22"/>
          <w:szCs w:val="22"/>
        </w:rPr>
      </w:pPr>
      <w:r w:rsidRPr="00C06FEF">
        <w:rPr>
          <w:color w:val="000000" w:themeColor="text1"/>
          <w:sz w:val="22"/>
          <w:szCs w:val="22"/>
        </w:rPr>
        <w:t>Three core</w:t>
      </w:r>
      <w:r w:rsidR="00247271" w:rsidRPr="00C06FEF">
        <w:rPr>
          <w:color w:val="000000" w:themeColor="text1"/>
          <w:sz w:val="22"/>
          <w:szCs w:val="22"/>
        </w:rPr>
        <w:t xml:space="preserve"> findings emerge from our analysis. First, a</w:t>
      </w:r>
      <w:r w:rsidR="00841A58" w:rsidRPr="00C06FEF">
        <w:rPr>
          <w:color w:val="000000" w:themeColor="text1"/>
          <w:sz w:val="22"/>
          <w:szCs w:val="22"/>
        </w:rPr>
        <w:t xml:space="preserve">lthough gender was largely absent from global TJ practices from 1970 through 1990, attention to gender has increased significantly </w:t>
      </w:r>
      <w:r w:rsidR="00A94640" w:rsidRPr="00C06FEF">
        <w:rPr>
          <w:color w:val="000000" w:themeColor="text1"/>
          <w:sz w:val="22"/>
          <w:szCs w:val="22"/>
        </w:rPr>
        <w:t xml:space="preserve">in all three mechanisms, </w:t>
      </w:r>
      <w:r w:rsidR="001800C1" w:rsidRPr="00C06FEF">
        <w:rPr>
          <w:color w:val="000000" w:themeColor="text1"/>
          <w:sz w:val="22"/>
          <w:szCs w:val="22"/>
        </w:rPr>
        <w:t>beginning</w:t>
      </w:r>
      <w:r w:rsidR="005F0221" w:rsidRPr="00C06FEF">
        <w:rPr>
          <w:color w:val="000000" w:themeColor="text1"/>
          <w:sz w:val="22"/>
          <w:szCs w:val="22"/>
        </w:rPr>
        <w:t xml:space="preserve"> as early as</w:t>
      </w:r>
      <w:r w:rsidR="001800C1" w:rsidRPr="00C06FEF">
        <w:rPr>
          <w:color w:val="000000" w:themeColor="text1"/>
          <w:sz w:val="22"/>
          <w:szCs w:val="22"/>
        </w:rPr>
        <w:t xml:space="preserve"> the early </w:t>
      </w:r>
      <w:r w:rsidR="00841A58" w:rsidRPr="00C06FEF">
        <w:rPr>
          <w:color w:val="000000" w:themeColor="text1"/>
          <w:sz w:val="22"/>
          <w:szCs w:val="22"/>
        </w:rPr>
        <w:t>1990s</w:t>
      </w:r>
      <w:r w:rsidR="001800C1" w:rsidRPr="00C06FEF">
        <w:rPr>
          <w:color w:val="000000" w:themeColor="text1"/>
          <w:sz w:val="22"/>
          <w:szCs w:val="22"/>
        </w:rPr>
        <w:t>. T</w:t>
      </w:r>
      <w:r w:rsidR="00841A58" w:rsidRPr="00C06FEF">
        <w:rPr>
          <w:color w:val="000000" w:themeColor="text1"/>
          <w:sz w:val="22"/>
          <w:szCs w:val="22"/>
        </w:rPr>
        <w:t>he timing, location, and type of gender-attentive TJ aligns closely with patterns of feminist activism</w:t>
      </w:r>
      <w:r w:rsidR="008A2C1A" w:rsidRPr="00C06FEF">
        <w:rPr>
          <w:color w:val="000000" w:themeColor="text1"/>
          <w:sz w:val="22"/>
          <w:szCs w:val="22"/>
        </w:rPr>
        <w:t xml:space="preserve"> at that time</w:t>
      </w:r>
      <w:r w:rsidR="00841A58" w:rsidRPr="00C06FEF">
        <w:rPr>
          <w:color w:val="000000" w:themeColor="text1"/>
          <w:sz w:val="22"/>
          <w:szCs w:val="22"/>
        </w:rPr>
        <w:t>.</w:t>
      </w:r>
      <w:r w:rsidR="008A2C1A" w:rsidRPr="00C06FEF">
        <w:rPr>
          <w:color w:val="000000" w:themeColor="text1"/>
          <w:sz w:val="22"/>
          <w:szCs w:val="22"/>
        </w:rPr>
        <w:t xml:space="preserve"> </w:t>
      </w:r>
      <w:r w:rsidR="00247271" w:rsidRPr="00C06FEF">
        <w:rPr>
          <w:color w:val="000000" w:themeColor="text1"/>
          <w:sz w:val="22"/>
          <w:szCs w:val="22"/>
        </w:rPr>
        <w:t>Second,</w:t>
      </w:r>
      <w:r w:rsidR="00841A58" w:rsidRPr="00C06FEF">
        <w:rPr>
          <w:color w:val="000000" w:themeColor="text1"/>
          <w:sz w:val="22"/>
          <w:szCs w:val="22"/>
        </w:rPr>
        <w:t xml:space="preserve"> consistent with </w:t>
      </w:r>
      <w:r w:rsidR="008A2C1A" w:rsidRPr="00C06FEF">
        <w:rPr>
          <w:color w:val="000000" w:themeColor="text1"/>
          <w:sz w:val="22"/>
          <w:szCs w:val="22"/>
        </w:rPr>
        <w:t>existing critiques of TJ</w:t>
      </w:r>
      <w:r w:rsidR="00841A58" w:rsidRPr="00C06FEF">
        <w:rPr>
          <w:color w:val="000000" w:themeColor="text1"/>
          <w:sz w:val="22"/>
          <w:szCs w:val="22"/>
        </w:rPr>
        <w:t xml:space="preserve">, </w:t>
      </w:r>
      <w:r w:rsidR="008A2C1A" w:rsidRPr="00C06FEF">
        <w:rPr>
          <w:color w:val="000000" w:themeColor="text1"/>
          <w:sz w:val="22"/>
          <w:szCs w:val="22"/>
        </w:rPr>
        <w:t xml:space="preserve">gender-attentive TJ policies </w:t>
      </w:r>
      <w:r w:rsidR="00841A58" w:rsidRPr="00C06FEF">
        <w:rPr>
          <w:color w:val="000000" w:themeColor="text1"/>
          <w:sz w:val="22"/>
          <w:szCs w:val="22"/>
        </w:rPr>
        <w:t xml:space="preserve">have focused </w:t>
      </w:r>
      <w:r w:rsidR="008A2C1A" w:rsidRPr="00C06FEF">
        <w:rPr>
          <w:color w:val="000000" w:themeColor="text1"/>
          <w:sz w:val="22"/>
          <w:szCs w:val="22"/>
        </w:rPr>
        <w:t>predominately</w:t>
      </w:r>
      <w:r w:rsidR="00841A58" w:rsidRPr="00C06FEF">
        <w:rPr>
          <w:color w:val="000000" w:themeColor="text1"/>
          <w:sz w:val="22"/>
          <w:szCs w:val="22"/>
        </w:rPr>
        <w:t xml:space="preserve"> on physical harms</w:t>
      </w:r>
      <w:r w:rsidR="008A2C1A" w:rsidRPr="00C06FEF">
        <w:rPr>
          <w:color w:val="000000" w:themeColor="text1"/>
          <w:sz w:val="22"/>
          <w:szCs w:val="22"/>
        </w:rPr>
        <w:t xml:space="preserve"> and, </w:t>
      </w:r>
      <w:r w:rsidR="00841A58" w:rsidRPr="00C06FEF">
        <w:rPr>
          <w:color w:val="000000" w:themeColor="text1"/>
          <w:sz w:val="22"/>
          <w:szCs w:val="22"/>
        </w:rPr>
        <w:t>especially</w:t>
      </w:r>
      <w:r w:rsidR="008A2C1A" w:rsidRPr="00C06FEF">
        <w:rPr>
          <w:color w:val="000000" w:themeColor="text1"/>
          <w:sz w:val="22"/>
          <w:szCs w:val="22"/>
        </w:rPr>
        <w:t>,</w:t>
      </w:r>
      <w:r w:rsidR="00841A58" w:rsidRPr="00C06FEF">
        <w:rPr>
          <w:color w:val="000000" w:themeColor="text1"/>
          <w:sz w:val="22"/>
          <w:szCs w:val="22"/>
        </w:rPr>
        <w:t xml:space="preserve"> </w:t>
      </w:r>
      <w:r w:rsidR="00247271" w:rsidRPr="00C06FEF">
        <w:rPr>
          <w:color w:val="000000" w:themeColor="text1"/>
          <w:sz w:val="22"/>
          <w:szCs w:val="22"/>
        </w:rPr>
        <w:t>rape</w:t>
      </w:r>
      <w:r w:rsidR="00841A58" w:rsidRPr="00C06FEF">
        <w:rPr>
          <w:color w:val="000000" w:themeColor="text1"/>
          <w:sz w:val="22"/>
          <w:szCs w:val="22"/>
        </w:rPr>
        <w:t>.</w:t>
      </w:r>
      <w:r w:rsidR="003B575A">
        <w:rPr>
          <w:color w:val="000000" w:themeColor="text1"/>
          <w:sz w:val="22"/>
          <w:szCs w:val="22"/>
        </w:rPr>
        <w:t xml:space="preserve"> </w:t>
      </w:r>
      <w:r w:rsidR="008A1C06">
        <w:rPr>
          <w:color w:val="000000" w:themeColor="text1"/>
          <w:sz w:val="22"/>
          <w:szCs w:val="22"/>
        </w:rPr>
        <w:t>T</w:t>
      </w:r>
      <w:r w:rsidR="00247271" w:rsidRPr="00C06FEF">
        <w:rPr>
          <w:color w:val="000000" w:themeColor="text1"/>
          <w:sz w:val="22"/>
          <w:szCs w:val="22"/>
        </w:rPr>
        <w:t>hird,</w:t>
      </w:r>
      <w:r w:rsidR="00841A58" w:rsidRPr="00C06FEF">
        <w:rPr>
          <w:color w:val="000000" w:themeColor="text1"/>
          <w:sz w:val="22"/>
          <w:szCs w:val="22"/>
        </w:rPr>
        <w:t xml:space="preserve"> </w:t>
      </w:r>
      <w:r w:rsidR="008A1C06">
        <w:rPr>
          <w:color w:val="000000" w:themeColor="text1"/>
          <w:sz w:val="22"/>
          <w:szCs w:val="22"/>
        </w:rPr>
        <w:t xml:space="preserve">however, </w:t>
      </w:r>
      <w:r w:rsidR="00E53347" w:rsidRPr="00C06FEF">
        <w:rPr>
          <w:color w:val="000000" w:themeColor="text1"/>
          <w:sz w:val="22"/>
          <w:szCs w:val="22"/>
        </w:rPr>
        <w:t xml:space="preserve">early accountability for gender violence of any kind is more likely to be associated with </w:t>
      </w:r>
      <w:r w:rsidR="0043319B">
        <w:rPr>
          <w:color w:val="000000" w:themeColor="text1"/>
          <w:sz w:val="22"/>
          <w:szCs w:val="22"/>
        </w:rPr>
        <w:t xml:space="preserve">a </w:t>
      </w:r>
      <w:r w:rsidR="00E53347" w:rsidRPr="00C06FEF">
        <w:rPr>
          <w:color w:val="000000" w:themeColor="text1"/>
          <w:sz w:val="22"/>
          <w:szCs w:val="22"/>
        </w:rPr>
        <w:lastRenderedPageBreak/>
        <w:t>“positive spillover</w:t>
      </w:r>
      <w:r w:rsidR="0043319B">
        <w:rPr>
          <w:color w:val="000000" w:themeColor="text1"/>
          <w:sz w:val="22"/>
          <w:szCs w:val="22"/>
        </w:rPr>
        <w:t>,</w:t>
      </w:r>
      <w:r w:rsidR="00E53347" w:rsidRPr="00C06FEF">
        <w:rPr>
          <w:color w:val="000000" w:themeColor="text1"/>
          <w:sz w:val="22"/>
          <w:szCs w:val="22"/>
        </w:rPr>
        <w:t>” lead</w:t>
      </w:r>
      <w:r w:rsidR="0043319B">
        <w:rPr>
          <w:color w:val="000000" w:themeColor="text1"/>
          <w:sz w:val="22"/>
          <w:szCs w:val="22"/>
        </w:rPr>
        <w:t>ing</w:t>
      </w:r>
      <w:r w:rsidR="00E53347" w:rsidRPr="00C06FEF">
        <w:rPr>
          <w:color w:val="000000" w:themeColor="text1"/>
          <w:sz w:val="22"/>
          <w:szCs w:val="22"/>
        </w:rPr>
        <w:t xml:space="preserve"> to broader attention to gender </w:t>
      </w:r>
      <w:r w:rsidR="00E53347" w:rsidRPr="00C06FEF">
        <w:rPr>
          <w:rStyle w:val="highlight"/>
          <w:color w:val="000000" w:themeColor="text1"/>
          <w:sz w:val="22"/>
          <w:szCs w:val="22"/>
        </w:rPr>
        <w:t>issues</w:t>
      </w:r>
      <w:r w:rsidR="00E221C7" w:rsidRPr="00C06FEF">
        <w:rPr>
          <w:rStyle w:val="highlight"/>
          <w:color w:val="000000" w:themeColor="text1"/>
          <w:sz w:val="22"/>
          <w:szCs w:val="22"/>
        </w:rPr>
        <w:t xml:space="preserve"> rather than</w:t>
      </w:r>
      <w:r w:rsidR="00E26870" w:rsidRPr="00C06FEF">
        <w:rPr>
          <w:rStyle w:val="highlight"/>
          <w:color w:val="000000" w:themeColor="text1"/>
          <w:sz w:val="22"/>
          <w:szCs w:val="22"/>
        </w:rPr>
        <w:t xml:space="preserve"> </w:t>
      </w:r>
      <w:r w:rsidR="00E221C7" w:rsidRPr="00C06FEF">
        <w:rPr>
          <w:rStyle w:val="highlight"/>
          <w:color w:val="000000" w:themeColor="text1"/>
          <w:sz w:val="22"/>
          <w:szCs w:val="22"/>
        </w:rPr>
        <w:t>“crowding out”</w:t>
      </w:r>
      <w:r w:rsidR="00087F2F" w:rsidRPr="00C06FEF">
        <w:rPr>
          <w:rStyle w:val="highlight"/>
          <w:color w:val="000000" w:themeColor="text1"/>
          <w:sz w:val="22"/>
          <w:szCs w:val="22"/>
        </w:rPr>
        <w:t xml:space="preserve"> </w:t>
      </w:r>
      <w:r w:rsidR="002631B3" w:rsidRPr="00C06FEF">
        <w:rPr>
          <w:rStyle w:val="highlight"/>
          <w:color w:val="000000" w:themeColor="text1"/>
          <w:sz w:val="22"/>
          <w:szCs w:val="22"/>
        </w:rPr>
        <w:t>attention to other gender harms</w:t>
      </w:r>
      <w:r w:rsidR="00E53347" w:rsidRPr="00C06FEF">
        <w:rPr>
          <w:rStyle w:val="highlight"/>
          <w:color w:val="000000" w:themeColor="text1"/>
          <w:sz w:val="22"/>
          <w:szCs w:val="22"/>
        </w:rPr>
        <w:t>.</w:t>
      </w:r>
      <w:r w:rsidR="00E53347" w:rsidRPr="00C06FEF">
        <w:rPr>
          <w:rStyle w:val="FootnoteReference"/>
          <w:color w:val="000000" w:themeColor="text1"/>
          <w:sz w:val="22"/>
          <w:szCs w:val="22"/>
        </w:rPr>
        <w:footnoteReference w:id="14"/>
      </w:r>
      <w:r w:rsidR="00E53347" w:rsidRPr="00C06FEF">
        <w:rPr>
          <w:rStyle w:val="highlight"/>
          <w:color w:val="000000" w:themeColor="text1"/>
          <w:sz w:val="22"/>
          <w:szCs w:val="22"/>
        </w:rPr>
        <w:t xml:space="preserve"> </w:t>
      </w:r>
      <w:r w:rsidR="00E97EB3" w:rsidRPr="00C06FEF">
        <w:rPr>
          <w:rStyle w:val="highlight"/>
          <w:color w:val="000000" w:themeColor="text1"/>
          <w:sz w:val="22"/>
          <w:szCs w:val="22"/>
        </w:rPr>
        <w:t xml:space="preserve">In other words, rather than see gender-attentive TJ as </w:t>
      </w:r>
      <w:r w:rsidR="0043319B">
        <w:rPr>
          <w:rStyle w:val="highlight"/>
          <w:color w:val="000000" w:themeColor="text1"/>
          <w:sz w:val="22"/>
          <w:szCs w:val="22"/>
        </w:rPr>
        <w:t xml:space="preserve">part of </w:t>
      </w:r>
      <w:r w:rsidR="00E97EB3" w:rsidRPr="00C06FEF">
        <w:rPr>
          <w:rStyle w:val="highlight"/>
          <w:color w:val="000000" w:themeColor="text1"/>
          <w:sz w:val="22"/>
          <w:szCs w:val="22"/>
        </w:rPr>
        <w:t>a zero</w:t>
      </w:r>
      <w:r w:rsidR="0043319B">
        <w:rPr>
          <w:rStyle w:val="highlight"/>
          <w:color w:val="000000" w:themeColor="text1"/>
          <w:sz w:val="22"/>
          <w:szCs w:val="22"/>
        </w:rPr>
        <w:t>-</w:t>
      </w:r>
      <w:r w:rsidR="00E97EB3" w:rsidRPr="00C06FEF">
        <w:rPr>
          <w:rStyle w:val="highlight"/>
          <w:color w:val="000000" w:themeColor="text1"/>
          <w:sz w:val="22"/>
          <w:szCs w:val="22"/>
        </w:rPr>
        <w:t>sum game</w:t>
      </w:r>
      <w:r w:rsidR="0043319B">
        <w:rPr>
          <w:rStyle w:val="highlight"/>
          <w:color w:val="000000" w:themeColor="text1"/>
          <w:sz w:val="22"/>
          <w:szCs w:val="22"/>
        </w:rPr>
        <w:t>,</w:t>
      </w:r>
      <w:r w:rsidR="00E97EB3" w:rsidRPr="00C06FEF">
        <w:rPr>
          <w:rStyle w:val="highlight"/>
          <w:color w:val="000000" w:themeColor="text1"/>
          <w:sz w:val="22"/>
          <w:szCs w:val="22"/>
        </w:rPr>
        <w:t xml:space="preserve"> where attention to one </w:t>
      </w:r>
      <w:r w:rsidR="0043319B">
        <w:rPr>
          <w:rStyle w:val="highlight"/>
          <w:color w:val="000000" w:themeColor="text1"/>
          <w:sz w:val="22"/>
          <w:szCs w:val="22"/>
        </w:rPr>
        <w:t xml:space="preserve">injustice </w:t>
      </w:r>
      <w:r w:rsidR="00E97EB3" w:rsidRPr="00C06FEF">
        <w:rPr>
          <w:rStyle w:val="highlight"/>
          <w:color w:val="000000" w:themeColor="text1"/>
          <w:sz w:val="22"/>
          <w:szCs w:val="22"/>
        </w:rPr>
        <w:t xml:space="preserve">precludes attention to others, </w:t>
      </w:r>
      <w:r w:rsidR="008C5274">
        <w:rPr>
          <w:rStyle w:val="highlight"/>
          <w:color w:val="000000" w:themeColor="text1"/>
          <w:sz w:val="22"/>
          <w:szCs w:val="22"/>
        </w:rPr>
        <w:t>a phenomenon</w:t>
      </w:r>
      <w:r w:rsidR="00C94062">
        <w:rPr>
          <w:rStyle w:val="highlight"/>
          <w:color w:val="000000" w:themeColor="text1"/>
          <w:sz w:val="22"/>
          <w:szCs w:val="22"/>
        </w:rPr>
        <w:t xml:space="preserve"> sometimes called “crowding out” or “spillout</w:t>
      </w:r>
      <w:r w:rsidR="008133F7">
        <w:rPr>
          <w:rStyle w:val="highlight"/>
          <w:color w:val="000000" w:themeColor="text1"/>
          <w:sz w:val="22"/>
          <w:szCs w:val="22"/>
        </w:rPr>
        <w:t>,”</w:t>
      </w:r>
      <w:r w:rsidR="00336579">
        <w:rPr>
          <w:rStyle w:val="FootnoteReference"/>
          <w:color w:val="000000" w:themeColor="text1"/>
          <w:sz w:val="22"/>
          <w:szCs w:val="22"/>
        </w:rPr>
        <w:footnoteReference w:id="15"/>
      </w:r>
      <w:r w:rsidR="008133F7">
        <w:rPr>
          <w:rStyle w:val="highlight"/>
          <w:color w:val="000000" w:themeColor="text1"/>
          <w:sz w:val="22"/>
          <w:szCs w:val="22"/>
        </w:rPr>
        <w:t xml:space="preserve"> </w:t>
      </w:r>
      <w:r w:rsidR="00E97EB3" w:rsidRPr="00C06FEF">
        <w:rPr>
          <w:rStyle w:val="highlight"/>
          <w:color w:val="000000" w:themeColor="text1"/>
          <w:sz w:val="22"/>
          <w:szCs w:val="22"/>
        </w:rPr>
        <w:t xml:space="preserve">we </w:t>
      </w:r>
      <w:r w:rsidR="001F3DD1" w:rsidRPr="00C06FEF">
        <w:rPr>
          <w:rStyle w:val="highlight"/>
          <w:color w:val="000000" w:themeColor="text1"/>
          <w:sz w:val="22"/>
          <w:szCs w:val="22"/>
        </w:rPr>
        <w:t>find</w:t>
      </w:r>
      <w:r w:rsidR="00E97EB3" w:rsidRPr="00C06FEF">
        <w:rPr>
          <w:rStyle w:val="highlight"/>
          <w:color w:val="000000" w:themeColor="text1"/>
          <w:sz w:val="22"/>
          <w:szCs w:val="22"/>
        </w:rPr>
        <w:t xml:space="preserve"> that gender-attentive TJ is often a positive</w:t>
      </w:r>
      <w:r w:rsidR="0043319B">
        <w:rPr>
          <w:rStyle w:val="highlight"/>
          <w:color w:val="000000" w:themeColor="text1"/>
          <w:sz w:val="22"/>
          <w:szCs w:val="22"/>
        </w:rPr>
        <w:t>-</w:t>
      </w:r>
      <w:r w:rsidR="00E97EB3" w:rsidRPr="00C06FEF">
        <w:rPr>
          <w:rStyle w:val="highlight"/>
          <w:color w:val="000000" w:themeColor="text1"/>
          <w:sz w:val="22"/>
          <w:szCs w:val="22"/>
        </w:rPr>
        <w:t xml:space="preserve">sum game where once actors </w:t>
      </w:r>
      <w:r w:rsidR="00043E5F" w:rsidRPr="00C06FEF">
        <w:rPr>
          <w:rStyle w:val="highlight"/>
          <w:color w:val="000000" w:themeColor="text1"/>
          <w:sz w:val="22"/>
          <w:szCs w:val="22"/>
        </w:rPr>
        <w:t>work for accountability for gender</w:t>
      </w:r>
      <w:r w:rsidR="00C94062">
        <w:rPr>
          <w:rStyle w:val="highlight"/>
          <w:color w:val="000000" w:themeColor="text1"/>
          <w:sz w:val="22"/>
          <w:szCs w:val="22"/>
        </w:rPr>
        <w:t xml:space="preserve"> violence</w:t>
      </w:r>
      <w:r w:rsidR="00E97EB3" w:rsidRPr="00C06FEF">
        <w:rPr>
          <w:rStyle w:val="highlight"/>
          <w:color w:val="000000" w:themeColor="text1"/>
          <w:sz w:val="22"/>
          <w:szCs w:val="22"/>
        </w:rPr>
        <w:t xml:space="preserve">, they are more </w:t>
      </w:r>
      <w:r w:rsidR="0043319B">
        <w:rPr>
          <w:rStyle w:val="highlight"/>
          <w:color w:val="000000" w:themeColor="text1"/>
          <w:sz w:val="22"/>
          <w:szCs w:val="22"/>
        </w:rPr>
        <w:t>likely</w:t>
      </w:r>
      <w:r w:rsidR="00E97EB3" w:rsidRPr="00C06FEF">
        <w:rPr>
          <w:rStyle w:val="highlight"/>
          <w:color w:val="000000" w:themeColor="text1"/>
          <w:sz w:val="22"/>
          <w:szCs w:val="22"/>
        </w:rPr>
        <w:t xml:space="preserve"> to address a wider range of gender issues. </w:t>
      </w:r>
      <w:r w:rsidR="000F2E3E">
        <w:rPr>
          <w:rStyle w:val="highlight"/>
          <w:color w:val="000000" w:themeColor="text1"/>
          <w:sz w:val="22"/>
          <w:szCs w:val="22"/>
        </w:rPr>
        <w:t xml:space="preserve">Our findings align with those of </w:t>
      </w:r>
      <w:r w:rsidR="00E53347" w:rsidRPr="00C06FEF">
        <w:rPr>
          <w:rStyle w:val="highlight"/>
          <w:color w:val="000000" w:themeColor="text1"/>
          <w:sz w:val="22"/>
          <w:szCs w:val="22"/>
        </w:rPr>
        <w:t>Catherine O’Rourke</w:t>
      </w:r>
      <w:r w:rsidR="000F2E3E">
        <w:rPr>
          <w:rStyle w:val="highlight"/>
          <w:color w:val="000000" w:themeColor="text1"/>
          <w:sz w:val="22"/>
          <w:szCs w:val="22"/>
        </w:rPr>
        <w:t>, for example, who</w:t>
      </w:r>
      <w:r w:rsidR="00E53347" w:rsidRPr="00C06FEF">
        <w:rPr>
          <w:rStyle w:val="highlight"/>
          <w:color w:val="000000" w:themeColor="text1"/>
          <w:sz w:val="22"/>
          <w:szCs w:val="22"/>
        </w:rPr>
        <w:t xml:space="preserve"> argues</w:t>
      </w:r>
      <w:r w:rsidR="000F2E3E">
        <w:rPr>
          <w:rStyle w:val="highlight"/>
          <w:color w:val="000000" w:themeColor="text1"/>
          <w:sz w:val="22"/>
          <w:szCs w:val="22"/>
        </w:rPr>
        <w:t xml:space="preserve"> that</w:t>
      </w:r>
      <w:r w:rsidR="00E53347" w:rsidRPr="00C06FEF">
        <w:rPr>
          <w:rStyle w:val="highlight"/>
          <w:color w:val="000000" w:themeColor="text1"/>
          <w:sz w:val="22"/>
          <w:szCs w:val="22"/>
        </w:rPr>
        <w:t xml:space="preserve"> </w:t>
      </w:r>
      <w:r w:rsidR="00E53347" w:rsidRPr="00C06FEF">
        <w:rPr>
          <w:color w:val="000000" w:themeColor="text1"/>
          <w:sz w:val="22"/>
          <w:szCs w:val="22"/>
        </w:rPr>
        <w:t>“transitional justice has been a success story for feminist engagement and gender analysis”</w:t>
      </w:r>
      <w:r w:rsidR="00E53347" w:rsidRPr="00C06FEF">
        <w:rPr>
          <w:rStyle w:val="FootnoteReference"/>
          <w:color w:val="000000" w:themeColor="text1"/>
          <w:sz w:val="22"/>
          <w:szCs w:val="22"/>
        </w:rPr>
        <w:footnoteReference w:id="16"/>
      </w:r>
      <w:r w:rsidR="00E53347" w:rsidRPr="00C06FEF">
        <w:rPr>
          <w:color w:val="000000" w:themeColor="text1"/>
          <w:sz w:val="22"/>
          <w:szCs w:val="22"/>
        </w:rPr>
        <w:t xml:space="preserve"> because transitional justice practices today are more attentive to women and gender</w:t>
      </w:r>
      <w:r w:rsidR="00702780" w:rsidRPr="00C06FEF">
        <w:rPr>
          <w:color w:val="000000" w:themeColor="text1"/>
          <w:sz w:val="22"/>
          <w:szCs w:val="22"/>
        </w:rPr>
        <w:t>-</w:t>
      </w:r>
      <w:r w:rsidR="00E53347" w:rsidRPr="00C06FEF">
        <w:rPr>
          <w:color w:val="000000" w:themeColor="text1"/>
          <w:sz w:val="22"/>
          <w:szCs w:val="22"/>
        </w:rPr>
        <w:t>related concerns.</w:t>
      </w:r>
      <w:r w:rsidR="00E53347" w:rsidRPr="00C06FEF">
        <w:rPr>
          <w:rStyle w:val="FootnoteReference"/>
          <w:color w:val="000000" w:themeColor="text1"/>
          <w:sz w:val="22"/>
          <w:szCs w:val="22"/>
        </w:rPr>
        <w:footnoteReference w:id="17"/>
      </w:r>
      <w:r w:rsidR="00E53347" w:rsidRPr="00C06FEF">
        <w:rPr>
          <w:color w:val="000000" w:themeColor="text1"/>
          <w:sz w:val="22"/>
          <w:szCs w:val="22"/>
        </w:rPr>
        <w:t xml:space="preserve"> TJ practices have rendered visible gender harms and established some accountability for them.</w:t>
      </w:r>
    </w:p>
    <w:p w14:paraId="521B9E21" w14:textId="0BD1A7A7" w:rsidR="002B2F97" w:rsidRPr="00C06FEF" w:rsidRDefault="00247271" w:rsidP="00526055">
      <w:pPr>
        <w:pStyle w:val="NormalWeb"/>
        <w:spacing w:before="0" w:beforeAutospacing="0" w:after="0" w:afterAutospacing="0" w:line="480" w:lineRule="auto"/>
        <w:ind w:firstLine="720"/>
        <w:rPr>
          <w:color w:val="000000" w:themeColor="text1"/>
          <w:sz w:val="22"/>
          <w:szCs w:val="22"/>
        </w:rPr>
      </w:pPr>
      <w:r w:rsidRPr="00C06FEF">
        <w:rPr>
          <w:color w:val="000000" w:themeColor="text1"/>
          <w:sz w:val="22"/>
          <w:szCs w:val="22"/>
        </w:rPr>
        <w:t>Beyond these empirical insights, we make two broader contributions to the literature on</w:t>
      </w:r>
      <w:r w:rsidR="001800C1" w:rsidRPr="00C06FEF">
        <w:rPr>
          <w:color w:val="000000" w:themeColor="text1"/>
          <w:sz w:val="22"/>
          <w:szCs w:val="22"/>
        </w:rPr>
        <w:t xml:space="preserve"> gender and</w:t>
      </w:r>
      <w:r w:rsidRPr="00C06FEF">
        <w:rPr>
          <w:color w:val="000000" w:themeColor="text1"/>
          <w:sz w:val="22"/>
          <w:szCs w:val="22"/>
        </w:rPr>
        <w:t xml:space="preserve"> TJ. </w:t>
      </w:r>
      <w:r w:rsidR="005521F3" w:rsidRPr="00C06FEF">
        <w:rPr>
          <w:color w:val="000000" w:themeColor="text1"/>
          <w:sz w:val="22"/>
          <w:szCs w:val="22"/>
        </w:rPr>
        <w:t xml:space="preserve">First, by highlighting the importance of the feminist movement in framing and setting the global agenda, our argument helps explain why we observe the emergence of gender-attentive TJ when we do and underscores possibilities for future change. Second, the data we present </w:t>
      </w:r>
      <w:r w:rsidR="00D36282" w:rsidRPr="00C06FEF">
        <w:rPr>
          <w:color w:val="000000" w:themeColor="text1"/>
          <w:sz w:val="22"/>
          <w:szCs w:val="22"/>
        </w:rPr>
        <w:t>here is part of a broader research initiative that has compiled the most complete database of diverse accountability policies, including truth commissions, reparations policies, amnesty laws, vetting and lustration policies, and domestic, foreign, and international human rights trials. These data</w:t>
      </w:r>
      <w:r w:rsidR="0064403B" w:rsidRPr="00C06FEF">
        <w:rPr>
          <w:color w:val="000000" w:themeColor="text1"/>
          <w:sz w:val="22"/>
          <w:szCs w:val="22"/>
        </w:rPr>
        <w:t xml:space="preserve"> not only can help scholars and </w:t>
      </w:r>
      <w:r w:rsidR="0064403B" w:rsidRPr="00C06FEF">
        <w:rPr>
          <w:color w:val="000000" w:themeColor="text1"/>
          <w:sz w:val="22"/>
          <w:szCs w:val="22"/>
        </w:rPr>
        <w:lastRenderedPageBreak/>
        <w:t xml:space="preserve">practitioners </w:t>
      </w:r>
      <w:r w:rsidR="005521F3" w:rsidRPr="00C06FEF">
        <w:rPr>
          <w:color w:val="000000" w:themeColor="text1"/>
          <w:sz w:val="22"/>
          <w:szCs w:val="22"/>
        </w:rPr>
        <w:t xml:space="preserve">better understand </w:t>
      </w:r>
      <w:r w:rsidR="00D36282" w:rsidRPr="00C06FEF">
        <w:rPr>
          <w:color w:val="000000" w:themeColor="text1"/>
          <w:sz w:val="22"/>
          <w:szCs w:val="22"/>
        </w:rPr>
        <w:t>when, where, and why TJ practices are attentive to gender</w:t>
      </w:r>
      <w:r w:rsidR="0064403B" w:rsidRPr="00C06FEF">
        <w:rPr>
          <w:color w:val="000000" w:themeColor="text1"/>
          <w:sz w:val="22"/>
          <w:szCs w:val="22"/>
        </w:rPr>
        <w:t>, they also open new avenues of inquiry for the broader transitional justice research community.</w:t>
      </w:r>
      <w:r w:rsidR="00681EFE">
        <w:rPr>
          <w:rStyle w:val="FootnoteReference"/>
          <w:color w:val="000000" w:themeColor="text1"/>
          <w:sz w:val="22"/>
          <w:szCs w:val="22"/>
        </w:rPr>
        <w:footnoteReference w:id="18"/>
      </w:r>
      <w:r w:rsidR="0064403B" w:rsidRPr="00C06FEF">
        <w:rPr>
          <w:color w:val="000000" w:themeColor="text1"/>
          <w:sz w:val="22"/>
          <w:szCs w:val="22"/>
        </w:rPr>
        <w:t xml:space="preserve"> </w:t>
      </w:r>
    </w:p>
    <w:p w14:paraId="0EA2DBBC" w14:textId="77777777" w:rsidR="00E02BD1" w:rsidRPr="009339FE" w:rsidRDefault="00E02BD1" w:rsidP="00526055">
      <w:pPr>
        <w:pStyle w:val="NormalWeb"/>
        <w:spacing w:before="0" w:beforeAutospacing="0" w:after="0" w:afterAutospacing="0" w:line="480" w:lineRule="auto"/>
        <w:ind w:firstLine="720"/>
        <w:rPr>
          <w:color w:val="000000" w:themeColor="text1"/>
        </w:rPr>
      </w:pPr>
    </w:p>
    <w:p w14:paraId="6675A715" w14:textId="02E624BA" w:rsidR="00476BA7" w:rsidRPr="00C06FEF" w:rsidRDefault="00F46011" w:rsidP="00526055">
      <w:pPr>
        <w:spacing w:line="480" w:lineRule="auto"/>
      </w:pPr>
      <w:r w:rsidRPr="00C06FEF">
        <w:rPr>
          <w:b/>
          <w:bCs/>
        </w:rPr>
        <w:t xml:space="preserve">2. </w:t>
      </w:r>
      <w:r w:rsidR="007905CB" w:rsidRPr="00C06FEF">
        <w:rPr>
          <w:b/>
          <w:bCs/>
        </w:rPr>
        <w:t>Activism</w:t>
      </w:r>
      <w:r w:rsidRPr="00C06FEF">
        <w:rPr>
          <w:b/>
          <w:bCs/>
        </w:rPr>
        <w:t xml:space="preserve"> and the Emergence of Gender-Attentive Transitional Justice</w:t>
      </w:r>
      <w:r w:rsidR="00476BA7" w:rsidRPr="00C06FEF">
        <w:rPr>
          <w:b/>
          <w:bCs/>
        </w:rPr>
        <w:t xml:space="preserve"> </w:t>
      </w:r>
    </w:p>
    <w:p w14:paraId="7F848640" w14:textId="164AC308" w:rsidR="00120245" w:rsidRPr="00A0572E" w:rsidRDefault="00BD41BB" w:rsidP="00A0572E">
      <w:pPr>
        <w:pStyle w:val="NormalWeb"/>
        <w:spacing w:before="0" w:beforeAutospacing="0" w:after="0" w:afterAutospacing="0" w:line="480" w:lineRule="auto"/>
        <w:ind w:firstLine="720"/>
        <w:rPr>
          <w:sz w:val="22"/>
          <w:szCs w:val="22"/>
        </w:rPr>
      </w:pPr>
      <w:r w:rsidRPr="00C06FEF">
        <w:rPr>
          <w:sz w:val="22"/>
          <w:szCs w:val="22"/>
        </w:rPr>
        <w:t xml:space="preserve">What explains the emergence of gender-attentive transitional justice policies? </w:t>
      </w:r>
      <w:r w:rsidR="00997323" w:rsidRPr="00C06FEF">
        <w:rPr>
          <w:sz w:val="22"/>
          <w:szCs w:val="22"/>
        </w:rPr>
        <w:t>W</w:t>
      </w:r>
      <w:r w:rsidRPr="00C06FEF">
        <w:rPr>
          <w:sz w:val="22"/>
          <w:szCs w:val="22"/>
        </w:rPr>
        <w:t xml:space="preserve">e </w:t>
      </w:r>
      <w:r w:rsidR="00997323" w:rsidRPr="00C06FEF">
        <w:rPr>
          <w:sz w:val="22"/>
          <w:szCs w:val="22"/>
        </w:rPr>
        <w:t xml:space="preserve">first </w:t>
      </w:r>
      <w:r w:rsidRPr="00C06FEF">
        <w:rPr>
          <w:sz w:val="22"/>
          <w:szCs w:val="22"/>
        </w:rPr>
        <w:t>advance an argument about</w:t>
      </w:r>
      <w:r w:rsidR="00FA0751" w:rsidRPr="00C06FEF">
        <w:rPr>
          <w:sz w:val="22"/>
          <w:szCs w:val="22"/>
        </w:rPr>
        <w:t xml:space="preserve"> variation in the </w:t>
      </w:r>
      <w:r w:rsidR="00FA0751" w:rsidRPr="00C06FEF">
        <w:rPr>
          <w:i/>
          <w:iCs/>
          <w:sz w:val="22"/>
          <w:szCs w:val="22"/>
        </w:rPr>
        <w:t>presence</w:t>
      </w:r>
      <w:r w:rsidR="00FA0751" w:rsidRPr="00C06FEF">
        <w:rPr>
          <w:sz w:val="22"/>
          <w:szCs w:val="22"/>
        </w:rPr>
        <w:t xml:space="preserve"> of gender in TJ policies. </w:t>
      </w:r>
      <w:r w:rsidR="00476BA7" w:rsidRPr="00C06FEF">
        <w:rPr>
          <w:sz w:val="22"/>
          <w:szCs w:val="22"/>
        </w:rPr>
        <w:t xml:space="preserve">We argue that the emergence of more gender-attentive </w:t>
      </w:r>
      <w:r w:rsidR="00A07A12" w:rsidRPr="00C06FEF">
        <w:rPr>
          <w:sz w:val="22"/>
          <w:szCs w:val="22"/>
        </w:rPr>
        <w:t xml:space="preserve">TJ </w:t>
      </w:r>
      <w:r w:rsidR="00476BA7" w:rsidRPr="00C06FEF">
        <w:rPr>
          <w:sz w:val="22"/>
          <w:szCs w:val="22"/>
        </w:rPr>
        <w:t xml:space="preserve">policies </w:t>
      </w:r>
      <w:r w:rsidR="00A07A12" w:rsidRPr="00C06FEF">
        <w:rPr>
          <w:sz w:val="22"/>
          <w:szCs w:val="22"/>
        </w:rPr>
        <w:t xml:space="preserve">corresponds with the framing and </w:t>
      </w:r>
      <w:r w:rsidR="00997323" w:rsidRPr="00C06FEF">
        <w:rPr>
          <w:sz w:val="22"/>
          <w:szCs w:val="22"/>
        </w:rPr>
        <w:t>agenda-setting</w:t>
      </w:r>
      <w:r w:rsidR="00A07A12" w:rsidRPr="00C06FEF">
        <w:rPr>
          <w:sz w:val="22"/>
          <w:szCs w:val="22"/>
        </w:rPr>
        <w:t xml:space="preserve"> strategies of </w:t>
      </w:r>
      <w:r w:rsidR="00997323" w:rsidRPr="00C06FEF">
        <w:rPr>
          <w:sz w:val="22"/>
          <w:szCs w:val="22"/>
        </w:rPr>
        <w:t xml:space="preserve">the </w:t>
      </w:r>
      <w:r w:rsidR="00A07A12" w:rsidRPr="00C06FEF">
        <w:rPr>
          <w:sz w:val="22"/>
          <w:szCs w:val="22"/>
        </w:rPr>
        <w:t xml:space="preserve">global feminist movement. </w:t>
      </w:r>
      <w:r w:rsidR="00D92455" w:rsidRPr="00C06FEF">
        <w:rPr>
          <w:sz w:val="22"/>
          <w:szCs w:val="22"/>
        </w:rPr>
        <w:t xml:space="preserve">After developing our argument, we introduce three explanations for the relative </w:t>
      </w:r>
      <w:r w:rsidR="00D92455" w:rsidRPr="00C06FEF">
        <w:rPr>
          <w:i/>
          <w:sz w:val="22"/>
          <w:szCs w:val="22"/>
        </w:rPr>
        <w:t>absence</w:t>
      </w:r>
      <w:r w:rsidR="00D92455" w:rsidRPr="00C06FEF">
        <w:rPr>
          <w:sz w:val="22"/>
          <w:szCs w:val="22"/>
        </w:rPr>
        <w:t xml:space="preserve"> of gender in TJ policies that have gained prominence in the broader academic literature.</w:t>
      </w:r>
      <w:r w:rsidR="00A0572E">
        <w:rPr>
          <w:noProof/>
          <w:sz w:val="22"/>
          <w:szCs w:val="22"/>
        </w:rPr>
        <w:drawing>
          <wp:inline distT="0" distB="0" distL="0" distR="0" wp14:anchorId="5DED6D50" wp14:editId="500D3578">
            <wp:extent cx="5943600" cy="3343275"/>
            <wp:effectExtent l="0" t="0" r="0" b="0"/>
            <wp:docPr id="1423677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77173" name="Picture 1423677173"/>
                    <pic:cNvPicPr/>
                  </pic:nvPicPr>
                  <pic:blipFill>
                    <a:blip r:embed="rId8">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sidR="001A62F4" w:rsidRPr="00C06FEF">
        <w:rPr>
          <w:b/>
          <w:bCs/>
          <w:sz w:val="22"/>
          <w:szCs w:val="22"/>
        </w:rPr>
        <w:t>Figure 1</w:t>
      </w:r>
      <w:r w:rsidR="001A62F4" w:rsidRPr="00C06FEF">
        <w:rPr>
          <w:sz w:val="22"/>
          <w:szCs w:val="22"/>
        </w:rPr>
        <w:t xml:space="preserve">. </w:t>
      </w:r>
      <w:r w:rsidR="001A62F4" w:rsidRPr="00C06FEF">
        <w:rPr>
          <w:i/>
          <w:iCs/>
          <w:sz w:val="22"/>
          <w:szCs w:val="22"/>
        </w:rPr>
        <w:t xml:space="preserve">Timeline of major </w:t>
      </w:r>
      <w:r w:rsidR="00681EFE">
        <w:rPr>
          <w:i/>
          <w:iCs/>
          <w:sz w:val="22"/>
          <w:szCs w:val="22"/>
        </w:rPr>
        <w:t xml:space="preserve">legal </w:t>
      </w:r>
      <w:r w:rsidR="001A62F4" w:rsidRPr="00C06FEF">
        <w:rPr>
          <w:i/>
          <w:iCs/>
          <w:sz w:val="22"/>
          <w:szCs w:val="22"/>
        </w:rPr>
        <w:t xml:space="preserve">developments </w:t>
      </w:r>
      <w:r w:rsidR="00681EFE">
        <w:rPr>
          <w:i/>
          <w:iCs/>
          <w:sz w:val="22"/>
          <w:szCs w:val="22"/>
        </w:rPr>
        <w:t xml:space="preserve">on gender and justice supported by the </w:t>
      </w:r>
      <w:r w:rsidR="001A62F4" w:rsidRPr="00C06FEF">
        <w:rPr>
          <w:i/>
          <w:iCs/>
          <w:sz w:val="22"/>
          <w:szCs w:val="22"/>
        </w:rPr>
        <w:t>global women’s movement, 1970-2010.</w:t>
      </w:r>
    </w:p>
    <w:p w14:paraId="0434244F" w14:textId="77777777" w:rsidR="00E02BD1" w:rsidRPr="00C06FEF" w:rsidRDefault="00E02BD1" w:rsidP="00E02BD1">
      <w:pPr>
        <w:rPr>
          <w:i/>
          <w:iCs/>
          <w:sz w:val="22"/>
          <w:szCs w:val="22"/>
        </w:rPr>
      </w:pPr>
    </w:p>
    <w:p w14:paraId="40D560CF" w14:textId="77777777" w:rsidR="00E02BD1" w:rsidRPr="00C06FEF" w:rsidRDefault="00E02BD1" w:rsidP="00E02BD1">
      <w:pPr>
        <w:rPr>
          <w:i/>
          <w:iCs/>
          <w:sz w:val="22"/>
          <w:szCs w:val="22"/>
        </w:rPr>
      </w:pPr>
    </w:p>
    <w:p w14:paraId="27ACB0BD" w14:textId="5CC2E2D1" w:rsidR="001A62F4" w:rsidRPr="008B2BBC" w:rsidRDefault="000846F9" w:rsidP="00526055">
      <w:pPr>
        <w:spacing w:line="480" w:lineRule="auto"/>
        <w:ind w:firstLine="720"/>
        <w:rPr>
          <w:sz w:val="22"/>
          <w:szCs w:val="22"/>
        </w:rPr>
      </w:pPr>
      <w:r w:rsidRPr="00C06FEF">
        <w:rPr>
          <w:sz w:val="22"/>
          <w:szCs w:val="22"/>
        </w:rPr>
        <w:lastRenderedPageBreak/>
        <w:t xml:space="preserve">The history of the global women’s movement is marked by several watershed </w:t>
      </w:r>
      <w:r w:rsidR="00681EFE">
        <w:rPr>
          <w:sz w:val="22"/>
          <w:szCs w:val="22"/>
        </w:rPr>
        <w:t xml:space="preserve">legal </w:t>
      </w:r>
      <w:r w:rsidR="009B196D">
        <w:rPr>
          <w:sz w:val="22"/>
          <w:szCs w:val="22"/>
        </w:rPr>
        <w:t xml:space="preserve">and political </w:t>
      </w:r>
      <w:r w:rsidR="00681EFE">
        <w:rPr>
          <w:sz w:val="22"/>
          <w:szCs w:val="22"/>
        </w:rPr>
        <w:t xml:space="preserve">developments </w:t>
      </w:r>
      <w:r w:rsidRPr="00C06FEF">
        <w:rPr>
          <w:sz w:val="22"/>
          <w:szCs w:val="22"/>
        </w:rPr>
        <w:t xml:space="preserve">which we depict in Figure 1. Despite the ten years from 1975 to 1985 being known as the “UN Decade on Women,” there was </w:t>
      </w:r>
      <w:r w:rsidR="00043E5F" w:rsidRPr="00C06FEF">
        <w:rPr>
          <w:sz w:val="22"/>
          <w:szCs w:val="22"/>
        </w:rPr>
        <w:t xml:space="preserve">virtually </w:t>
      </w:r>
      <w:r w:rsidRPr="00C06FEF">
        <w:rPr>
          <w:sz w:val="22"/>
          <w:szCs w:val="22"/>
        </w:rPr>
        <w:t xml:space="preserve">no attention to sexual violence as a global issue at that time. </w:t>
      </w:r>
      <w:r w:rsidRPr="008B2BBC">
        <w:rPr>
          <w:sz w:val="22"/>
          <w:szCs w:val="22"/>
        </w:rPr>
        <w:t>Sexual and gender</w:t>
      </w:r>
      <w:r w:rsidR="00627B47" w:rsidRPr="008B2BBC">
        <w:rPr>
          <w:sz w:val="22"/>
          <w:szCs w:val="22"/>
        </w:rPr>
        <w:t>-based</w:t>
      </w:r>
      <w:r w:rsidRPr="008B2BBC">
        <w:rPr>
          <w:sz w:val="22"/>
          <w:szCs w:val="22"/>
        </w:rPr>
        <w:t xml:space="preserve"> violence was not on the minds of the diplomats, many of them women, who drafted CEDAW, the preeminent women’s rights treaty of the 1970s. CEDAW has long sections on measures to eliminate discrimination against women in political, economic, and social life, with a special section, for example, just on the economic needs of rural women. </w:t>
      </w:r>
      <w:r w:rsidR="007C7397" w:rsidRPr="008B2BBC">
        <w:rPr>
          <w:sz w:val="22"/>
          <w:szCs w:val="22"/>
        </w:rPr>
        <w:t xml:space="preserve"> It does not mention </w:t>
      </w:r>
      <w:r w:rsidR="008A1C06" w:rsidRPr="008B2BBC">
        <w:rPr>
          <w:sz w:val="22"/>
          <w:szCs w:val="22"/>
        </w:rPr>
        <w:t xml:space="preserve">rape or </w:t>
      </w:r>
      <w:r w:rsidR="007C7397" w:rsidRPr="008B2BBC">
        <w:rPr>
          <w:sz w:val="22"/>
          <w:szCs w:val="22"/>
        </w:rPr>
        <w:t xml:space="preserve">gender violence at all. </w:t>
      </w:r>
    </w:p>
    <w:p w14:paraId="4EE54988" w14:textId="4CE89F87" w:rsidR="00387923" w:rsidRPr="002A2115" w:rsidRDefault="0025115E" w:rsidP="00526055">
      <w:pPr>
        <w:spacing w:line="480" w:lineRule="auto"/>
        <w:ind w:firstLine="720"/>
        <w:rPr>
          <w:color w:val="000000" w:themeColor="text1"/>
          <w:sz w:val="22"/>
          <w:szCs w:val="22"/>
        </w:rPr>
      </w:pPr>
      <w:r w:rsidRPr="008B2BBC">
        <w:rPr>
          <w:sz w:val="22"/>
          <w:szCs w:val="22"/>
        </w:rPr>
        <w:t>Over the next decade, activists helped put Violence Against Women (VAW) on the global agenda, alongside the established issues of discrimination and women and development that had dominated the debate in the 1970s and early 1980s. VAW became an object of UN activity starting in 1985, a</w:t>
      </w:r>
      <w:r w:rsidR="002446D6" w:rsidRPr="008B2BBC">
        <w:rPr>
          <w:sz w:val="22"/>
          <w:szCs w:val="22"/>
        </w:rPr>
        <w:t xml:space="preserve">t </w:t>
      </w:r>
      <w:r w:rsidR="008B2BBC">
        <w:rPr>
          <w:sz w:val="22"/>
          <w:szCs w:val="22"/>
        </w:rPr>
        <w:t xml:space="preserve">a </w:t>
      </w:r>
      <w:r w:rsidR="002446D6" w:rsidRPr="008B2BBC">
        <w:rPr>
          <w:sz w:val="22"/>
          <w:szCs w:val="22"/>
        </w:rPr>
        <w:t xml:space="preserve">meeting on women’s rights in Nairobi </w:t>
      </w:r>
      <w:r w:rsidR="00DF4C80" w:rsidRPr="008B2BBC">
        <w:rPr>
          <w:sz w:val="22"/>
          <w:szCs w:val="22"/>
        </w:rPr>
        <w:t xml:space="preserve">and </w:t>
      </w:r>
      <w:r w:rsidR="008B2BBC">
        <w:rPr>
          <w:sz w:val="22"/>
          <w:szCs w:val="22"/>
        </w:rPr>
        <w:t xml:space="preserve">continued </w:t>
      </w:r>
      <w:r w:rsidR="001C321C" w:rsidRPr="008B2BBC">
        <w:rPr>
          <w:sz w:val="22"/>
          <w:szCs w:val="22"/>
        </w:rPr>
        <w:t>in</w:t>
      </w:r>
      <w:r w:rsidR="002446D6" w:rsidRPr="008B2BBC">
        <w:rPr>
          <w:sz w:val="22"/>
          <w:szCs w:val="22"/>
        </w:rPr>
        <w:t xml:space="preserve"> Beijing in 1995</w:t>
      </w:r>
      <w:r w:rsidRPr="008B2BBC">
        <w:rPr>
          <w:sz w:val="22"/>
          <w:szCs w:val="22"/>
        </w:rPr>
        <w:t>.</w:t>
      </w:r>
      <w:r w:rsidRPr="008B2BBC">
        <w:rPr>
          <w:rStyle w:val="FootnoteReference"/>
          <w:sz w:val="22"/>
          <w:szCs w:val="22"/>
        </w:rPr>
        <w:t xml:space="preserve"> </w:t>
      </w:r>
      <w:r w:rsidRPr="008B2BBC">
        <w:rPr>
          <w:rStyle w:val="FootnoteReference"/>
          <w:sz w:val="22"/>
          <w:szCs w:val="22"/>
        </w:rPr>
        <w:footnoteReference w:id="19"/>
      </w:r>
      <w:r w:rsidRPr="008B2BBC">
        <w:rPr>
          <w:sz w:val="22"/>
          <w:szCs w:val="22"/>
        </w:rPr>
        <w:t xml:space="preserve">  </w:t>
      </w:r>
      <w:r w:rsidR="00D67A90" w:rsidRPr="008B2BBC">
        <w:rPr>
          <w:sz w:val="22"/>
          <w:szCs w:val="22"/>
        </w:rPr>
        <w:t>The Vienna Conference on Human Rights (1993)</w:t>
      </w:r>
      <w:r w:rsidR="00387923" w:rsidRPr="008B2BBC">
        <w:rPr>
          <w:sz w:val="22"/>
          <w:szCs w:val="22"/>
        </w:rPr>
        <w:t xml:space="preserve"> was</w:t>
      </w:r>
      <w:r w:rsidR="00D67A90" w:rsidRPr="008B2BBC">
        <w:rPr>
          <w:sz w:val="22"/>
          <w:szCs w:val="22"/>
        </w:rPr>
        <w:t xml:space="preserve"> a focal point for women organizing on this topic, wh</w:t>
      </w:r>
      <w:r w:rsidR="00F80507" w:rsidRPr="008B2BBC">
        <w:rPr>
          <w:sz w:val="22"/>
          <w:szCs w:val="22"/>
        </w:rPr>
        <w:t xml:space="preserve">ose </w:t>
      </w:r>
      <w:r w:rsidR="00D67A90" w:rsidRPr="008B2BBC">
        <w:rPr>
          <w:sz w:val="22"/>
          <w:szCs w:val="22"/>
        </w:rPr>
        <w:t>slogan was “Women’s Rights are Human Rights</w:t>
      </w:r>
      <w:r w:rsidR="00F80507" w:rsidRPr="008B2BBC">
        <w:rPr>
          <w:sz w:val="22"/>
          <w:szCs w:val="22"/>
        </w:rPr>
        <w:t>.</w:t>
      </w:r>
      <w:r w:rsidR="00D67A90" w:rsidRPr="008B2BBC">
        <w:rPr>
          <w:sz w:val="22"/>
          <w:szCs w:val="22"/>
        </w:rPr>
        <w:t>”</w:t>
      </w:r>
      <w:r w:rsidR="002A2115" w:rsidRPr="008B2BBC">
        <w:rPr>
          <w:color w:val="FF0000"/>
          <w:sz w:val="22"/>
          <w:szCs w:val="22"/>
        </w:rPr>
        <w:t xml:space="preserve">  </w:t>
      </w:r>
      <w:r w:rsidR="002A2115" w:rsidRPr="008B2BBC">
        <w:rPr>
          <w:color w:val="000000" w:themeColor="text1"/>
          <w:sz w:val="22"/>
          <w:szCs w:val="22"/>
        </w:rPr>
        <w:t xml:space="preserve">In 1998, feminist activists and diplomats from around the world </w:t>
      </w:r>
      <w:r w:rsidR="00104C5B" w:rsidRPr="008B2BBC">
        <w:rPr>
          <w:color w:val="000000" w:themeColor="text1"/>
          <w:sz w:val="22"/>
          <w:szCs w:val="22"/>
        </w:rPr>
        <w:t xml:space="preserve">worked to </w:t>
      </w:r>
      <w:r w:rsidR="002A2115" w:rsidRPr="008B2BBC">
        <w:rPr>
          <w:color w:val="000000" w:themeColor="text1"/>
          <w:sz w:val="22"/>
          <w:szCs w:val="22"/>
        </w:rPr>
        <w:t xml:space="preserve">include two fundamental legal innovations in the Rome Statute of the International Criminal Court (ICC):  the treaty included </w:t>
      </w:r>
      <w:r w:rsidR="0048736D" w:rsidRPr="008B2BBC">
        <w:rPr>
          <w:color w:val="000000" w:themeColor="text1"/>
          <w:sz w:val="22"/>
          <w:szCs w:val="22"/>
        </w:rPr>
        <w:t xml:space="preserve">“Rape, sexual slavery, enforced prostitution, forced pregnancy, enforced sterilization, or any other form of sexual violence of comparable gravity” </w:t>
      </w:r>
      <w:r w:rsidR="00104C5B" w:rsidRPr="008B2BBC">
        <w:rPr>
          <w:color w:val="000000" w:themeColor="text1"/>
          <w:sz w:val="22"/>
          <w:szCs w:val="22"/>
        </w:rPr>
        <w:t xml:space="preserve"> both as a grave breach of the Geneva Conventions, and a serious violation of common Article 3 governing non-international armed conflict, as well </w:t>
      </w:r>
      <w:r w:rsidR="0048736D" w:rsidRPr="008B2BBC">
        <w:rPr>
          <w:color w:val="000000" w:themeColor="text1"/>
          <w:sz w:val="22"/>
          <w:szCs w:val="22"/>
        </w:rPr>
        <w:t>as a crime against human humanity “when committed as part of a widespread or systematic attack directed against any civilian population.”</w:t>
      </w:r>
      <w:r w:rsidR="00104C5B" w:rsidRPr="008B2BBC">
        <w:rPr>
          <w:rStyle w:val="FootnoteReference"/>
          <w:color w:val="000000" w:themeColor="text1"/>
          <w:sz w:val="22"/>
          <w:szCs w:val="22"/>
        </w:rPr>
        <w:footnoteReference w:id="20"/>
      </w:r>
      <w:r w:rsidR="00F816DC" w:rsidRPr="008B2BBC">
        <w:rPr>
          <w:color w:val="000000" w:themeColor="text1"/>
          <w:sz w:val="22"/>
          <w:szCs w:val="22"/>
        </w:rPr>
        <w:t xml:space="preserve">  UNSC Resolution</w:t>
      </w:r>
      <w:r w:rsidR="00277911">
        <w:rPr>
          <w:color w:val="000000" w:themeColor="text1"/>
          <w:sz w:val="22"/>
          <w:szCs w:val="22"/>
        </w:rPr>
        <w:t xml:space="preserve"> 1325</w:t>
      </w:r>
      <w:r w:rsidR="00F816DC" w:rsidRPr="008B2BBC">
        <w:rPr>
          <w:color w:val="000000" w:themeColor="text1"/>
          <w:sz w:val="22"/>
          <w:szCs w:val="22"/>
        </w:rPr>
        <w:t xml:space="preserve"> on </w:t>
      </w:r>
      <w:r w:rsidR="00F816DC" w:rsidRPr="008B2BBC">
        <w:rPr>
          <w:sz w:val="22"/>
          <w:szCs w:val="22"/>
          <w:shd w:val="clear" w:color="auto" w:fill="FFFFFF"/>
        </w:rPr>
        <w:t>Women, Peace and Security</w:t>
      </w:r>
      <w:r w:rsidR="004157FC">
        <w:rPr>
          <w:sz w:val="22"/>
          <w:szCs w:val="22"/>
          <w:shd w:val="clear" w:color="auto" w:fill="FFFFFF"/>
        </w:rPr>
        <w:t xml:space="preserve"> (WPS) in 2000 echoed these provisions of the Rome Statute by calling on States to “put an end to impunity”  and </w:t>
      </w:r>
      <w:r w:rsidR="004157FC" w:rsidRPr="004157FC">
        <w:rPr>
          <w:sz w:val="22"/>
          <w:szCs w:val="22"/>
          <w:shd w:val="clear" w:color="auto" w:fill="FFFFFF"/>
        </w:rPr>
        <w:t>to prosecute those responsible crimes including those relating to sexual and other violence against women and girls</w:t>
      </w:r>
      <w:r w:rsidR="004157FC">
        <w:rPr>
          <w:sz w:val="22"/>
          <w:szCs w:val="22"/>
          <w:shd w:val="clear" w:color="auto" w:fill="FFFFFF"/>
        </w:rPr>
        <w:t xml:space="preserve">.”  WPS resolutions </w:t>
      </w:r>
      <w:r w:rsidR="00F816DC" w:rsidRPr="008B2BBC">
        <w:rPr>
          <w:sz w:val="22"/>
          <w:szCs w:val="22"/>
          <w:shd w:val="clear" w:color="auto" w:fill="FFFFFF"/>
        </w:rPr>
        <w:t xml:space="preserve">2106 and 2122 which stress the importance of </w:t>
      </w:r>
      <w:r w:rsidR="00F816DC" w:rsidRPr="008B2BBC">
        <w:rPr>
          <w:sz w:val="22"/>
          <w:szCs w:val="22"/>
          <w:shd w:val="clear" w:color="auto" w:fill="FFFFFF"/>
        </w:rPr>
        <w:lastRenderedPageBreak/>
        <w:t xml:space="preserve">addressing sexual violence in transitional justice mechanisms came late in the timeline </w:t>
      </w:r>
      <w:r w:rsidR="003B4A82">
        <w:rPr>
          <w:sz w:val="22"/>
          <w:szCs w:val="22"/>
          <w:shd w:val="clear" w:color="auto" w:fill="FFFFFF"/>
        </w:rPr>
        <w:t xml:space="preserve"> -- in 2013 -- </w:t>
      </w:r>
      <w:r w:rsidR="00F816DC" w:rsidRPr="008B2BBC">
        <w:rPr>
          <w:sz w:val="22"/>
          <w:szCs w:val="22"/>
          <w:shd w:val="clear" w:color="auto" w:fill="FFFFFF"/>
        </w:rPr>
        <w:t xml:space="preserve">that they are less relevant </w:t>
      </w:r>
      <w:r w:rsidR="003B4A82">
        <w:rPr>
          <w:sz w:val="22"/>
          <w:szCs w:val="22"/>
          <w:shd w:val="clear" w:color="auto" w:fill="FFFFFF"/>
        </w:rPr>
        <w:t xml:space="preserve">to help explain the </w:t>
      </w:r>
      <w:r w:rsidR="00F816DC" w:rsidRPr="008B2BBC">
        <w:rPr>
          <w:sz w:val="22"/>
          <w:szCs w:val="22"/>
          <w:shd w:val="clear" w:color="auto" w:fill="FFFFFF"/>
        </w:rPr>
        <w:t>transitional justice trends we describe here.</w:t>
      </w:r>
      <w:r w:rsidR="001946A7">
        <w:rPr>
          <w:rStyle w:val="FootnoteReference"/>
          <w:sz w:val="22"/>
          <w:szCs w:val="22"/>
          <w:shd w:val="clear" w:color="auto" w:fill="FFFFFF"/>
        </w:rPr>
        <w:footnoteReference w:id="21"/>
      </w:r>
    </w:p>
    <w:p w14:paraId="1433488F" w14:textId="7D1CD9B6" w:rsidR="008B0CC5" w:rsidRPr="00C06FEF" w:rsidRDefault="006066C2" w:rsidP="00526055">
      <w:pPr>
        <w:spacing w:line="480" w:lineRule="auto"/>
        <w:ind w:firstLine="720"/>
        <w:rPr>
          <w:sz w:val="22"/>
          <w:szCs w:val="22"/>
        </w:rPr>
      </w:pPr>
      <w:r w:rsidRPr="00C06FEF">
        <w:rPr>
          <w:sz w:val="22"/>
          <w:szCs w:val="22"/>
        </w:rPr>
        <w:t xml:space="preserve">This chronology is important because it allows us to situate ourselves in world ideational time and understand how and when new ideas, frames, norms, </w:t>
      </w:r>
      <w:r w:rsidR="00104C5B">
        <w:rPr>
          <w:sz w:val="22"/>
          <w:szCs w:val="22"/>
        </w:rPr>
        <w:t xml:space="preserve">law, </w:t>
      </w:r>
      <w:r w:rsidRPr="00C06FEF">
        <w:rPr>
          <w:sz w:val="22"/>
          <w:szCs w:val="22"/>
        </w:rPr>
        <w:t xml:space="preserve">and critiques emerge. </w:t>
      </w:r>
      <w:r w:rsidR="00C217B1" w:rsidRPr="00C06FEF">
        <w:rPr>
          <w:sz w:val="22"/>
          <w:szCs w:val="22"/>
        </w:rPr>
        <w:t>For instance, m</w:t>
      </w:r>
      <w:r w:rsidR="00EE3712" w:rsidRPr="00C06FEF">
        <w:rPr>
          <w:sz w:val="22"/>
          <w:szCs w:val="22"/>
        </w:rPr>
        <w:t xml:space="preserve">any scholars mark global attention to the problem of sexual violence as emerging in the wake of </w:t>
      </w:r>
      <w:r w:rsidR="005E75AF" w:rsidRPr="00C06FEF">
        <w:rPr>
          <w:sz w:val="22"/>
          <w:szCs w:val="22"/>
        </w:rPr>
        <w:t>mass sexual violence occurring in the war in the former Yugoslavia in 1992-1995 and in Rwanda during the 1994 genocide</w:t>
      </w:r>
      <w:r w:rsidR="00A83C44" w:rsidRPr="00C06FEF">
        <w:rPr>
          <w:sz w:val="22"/>
          <w:szCs w:val="22"/>
        </w:rPr>
        <w:t>, and the work of the international tribunals that later addressed this violence, the ICTY and the ICTR</w:t>
      </w:r>
      <w:r w:rsidR="004157FC">
        <w:rPr>
          <w:sz w:val="22"/>
          <w:szCs w:val="22"/>
        </w:rPr>
        <w:t>, or even after UNSC WPS resolutions.</w:t>
      </w:r>
      <w:r w:rsidR="00C217B1" w:rsidRPr="00C06FEF">
        <w:rPr>
          <w:rStyle w:val="FootnoteReference"/>
          <w:sz w:val="22"/>
          <w:szCs w:val="22"/>
        </w:rPr>
        <w:footnoteReference w:id="22"/>
      </w:r>
      <w:r w:rsidR="00EE3712" w:rsidRPr="00C06FEF">
        <w:rPr>
          <w:sz w:val="22"/>
          <w:szCs w:val="22"/>
        </w:rPr>
        <w:t xml:space="preserve"> </w:t>
      </w:r>
      <w:r w:rsidR="00C217B1" w:rsidRPr="00C06FEF">
        <w:rPr>
          <w:sz w:val="22"/>
          <w:szCs w:val="22"/>
        </w:rPr>
        <w:t xml:space="preserve">While these events certainly amplified global attention to the use of rape as a weapon of war, </w:t>
      </w:r>
      <w:r w:rsidR="004157FC">
        <w:rPr>
          <w:sz w:val="22"/>
          <w:szCs w:val="22"/>
        </w:rPr>
        <w:t xml:space="preserve">or </w:t>
      </w:r>
      <w:r w:rsidR="007C7397">
        <w:rPr>
          <w:sz w:val="22"/>
          <w:szCs w:val="22"/>
        </w:rPr>
        <w:t xml:space="preserve">created new jurisprudence on gender crimes, </w:t>
      </w:r>
      <w:r w:rsidR="00C217B1" w:rsidRPr="00C06FEF">
        <w:rPr>
          <w:sz w:val="22"/>
          <w:szCs w:val="22"/>
        </w:rPr>
        <w:t>the campaign to get this issue onto the global agenda predates these events and involves many more c</w:t>
      </w:r>
      <w:r w:rsidR="007C7397">
        <w:rPr>
          <w:sz w:val="22"/>
          <w:szCs w:val="22"/>
        </w:rPr>
        <w:t>ountries</w:t>
      </w:r>
      <w:r w:rsidR="008B0CC5" w:rsidRPr="00C06FEF">
        <w:rPr>
          <w:sz w:val="22"/>
          <w:szCs w:val="22"/>
        </w:rPr>
        <w:t>; for instance,</w:t>
      </w:r>
      <w:r w:rsidR="00C217B1" w:rsidRPr="00C06FEF">
        <w:rPr>
          <w:sz w:val="22"/>
          <w:szCs w:val="22"/>
        </w:rPr>
        <w:t xml:space="preserve"> the Global Campaign for Women’s Human Rights organized a Tribunal for Women’s Human Rights at the Vienna Conference in 1993 that included testimony on violence against women by 33 panelists from 25 countries.</w:t>
      </w:r>
      <w:r w:rsidR="00C217B1" w:rsidRPr="00C06FEF">
        <w:rPr>
          <w:rStyle w:val="FootnoteReference"/>
          <w:sz w:val="22"/>
          <w:szCs w:val="22"/>
        </w:rPr>
        <w:footnoteReference w:id="23"/>
      </w:r>
      <w:r w:rsidR="00EE3712" w:rsidRPr="00C06FEF">
        <w:rPr>
          <w:sz w:val="22"/>
          <w:szCs w:val="22"/>
        </w:rPr>
        <w:t xml:space="preserve"> </w:t>
      </w:r>
      <w:r w:rsidR="007C7397">
        <w:rPr>
          <w:sz w:val="22"/>
          <w:szCs w:val="22"/>
        </w:rPr>
        <w:t xml:space="preserve"> </w:t>
      </w:r>
    </w:p>
    <w:p w14:paraId="7EFFEBC0" w14:textId="75F37BC6" w:rsidR="008B0CC5" w:rsidRPr="00C06FEF" w:rsidRDefault="00387923" w:rsidP="00526055">
      <w:pPr>
        <w:spacing w:line="480" w:lineRule="auto"/>
        <w:ind w:firstLine="720"/>
        <w:rPr>
          <w:sz w:val="22"/>
          <w:szCs w:val="22"/>
        </w:rPr>
      </w:pPr>
      <w:r w:rsidRPr="00C06FEF">
        <w:rPr>
          <w:sz w:val="22"/>
          <w:szCs w:val="22"/>
        </w:rPr>
        <w:t>We argue that gender</w:t>
      </w:r>
      <w:r w:rsidR="00EE3712" w:rsidRPr="00C06FEF">
        <w:rPr>
          <w:sz w:val="22"/>
          <w:szCs w:val="22"/>
        </w:rPr>
        <w:t>ed</w:t>
      </w:r>
      <w:r w:rsidRPr="00C06FEF">
        <w:rPr>
          <w:sz w:val="22"/>
          <w:szCs w:val="22"/>
        </w:rPr>
        <w:t xml:space="preserve"> violence in both Yugoslavia and Rwanda </w:t>
      </w:r>
      <w:r w:rsidR="00F666AD" w:rsidRPr="00C06FEF">
        <w:rPr>
          <w:sz w:val="22"/>
          <w:szCs w:val="22"/>
        </w:rPr>
        <w:t>was</w:t>
      </w:r>
      <w:r w:rsidRPr="00C06FEF">
        <w:rPr>
          <w:sz w:val="22"/>
          <w:szCs w:val="22"/>
        </w:rPr>
        <w:t xml:space="preserve"> not so much responsible for the rise of gender concerns, but rather was part of a longer and larger story of women’s activism to incorporate gender into human rights.</w:t>
      </w:r>
      <w:r w:rsidR="008B0CC5" w:rsidRPr="00C06FEF">
        <w:rPr>
          <w:sz w:val="22"/>
          <w:szCs w:val="22"/>
        </w:rPr>
        <w:t xml:space="preserve"> </w:t>
      </w:r>
      <w:r w:rsidR="000D6EE2" w:rsidRPr="00C06FEF">
        <w:rPr>
          <w:sz w:val="22"/>
          <w:szCs w:val="22"/>
        </w:rPr>
        <w:t>We agree with</w:t>
      </w:r>
      <w:r w:rsidR="009B32D4" w:rsidRPr="00C06FEF">
        <w:rPr>
          <w:sz w:val="22"/>
          <w:szCs w:val="22"/>
        </w:rPr>
        <w:t xml:space="preserve"> Nordås and Cohen</w:t>
      </w:r>
      <w:r w:rsidR="000D6EE2" w:rsidRPr="00C06FEF">
        <w:rPr>
          <w:sz w:val="22"/>
          <w:szCs w:val="22"/>
        </w:rPr>
        <w:t>, who</w:t>
      </w:r>
      <w:r w:rsidR="009B32D4" w:rsidRPr="00C06FEF">
        <w:rPr>
          <w:sz w:val="22"/>
          <w:szCs w:val="22"/>
        </w:rPr>
        <w:t xml:space="preserve"> argue</w:t>
      </w:r>
      <w:r w:rsidR="000D6EE2" w:rsidRPr="00C06FEF">
        <w:rPr>
          <w:sz w:val="22"/>
          <w:szCs w:val="22"/>
        </w:rPr>
        <w:t xml:space="preserve"> that</w:t>
      </w:r>
      <w:r w:rsidR="009B32D4" w:rsidRPr="00C06FEF">
        <w:rPr>
          <w:sz w:val="22"/>
          <w:szCs w:val="22"/>
        </w:rPr>
        <w:t xml:space="preserve"> increasing attention to gender is “intimately tied” to the activism of </w:t>
      </w:r>
      <w:r w:rsidR="008A4855" w:rsidRPr="00C06FEF">
        <w:rPr>
          <w:sz w:val="22"/>
          <w:szCs w:val="22"/>
        </w:rPr>
        <w:t xml:space="preserve">the </w:t>
      </w:r>
      <w:r w:rsidR="009B32D4" w:rsidRPr="00C06FEF">
        <w:rPr>
          <w:sz w:val="22"/>
          <w:szCs w:val="22"/>
        </w:rPr>
        <w:t>feminist movement</w:t>
      </w:r>
      <w:r w:rsidR="000D6EE2" w:rsidRPr="00C06FEF">
        <w:rPr>
          <w:sz w:val="22"/>
          <w:szCs w:val="22"/>
        </w:rPr>
        <w:t>;</w:t>
      </w:r>
      <w:r w:rsidR="00DF4C80" w:rsidRPr="00DF4C80">
        <w:rPr>
          <w:rStyle w:val="FootnoteReference"/>
          <w:sz w:val="22"/>
          <w:szCs w:val="22"/>
        </w:rPr>
        <w:t xml:space="preserve"> </w:t>
      </w:r>
      <w:r w:rsidR="00DF4C80" w:rsidRPr="00C06FEF">
        <w:rPr>
          <w:rStyle w:val="FootnoteReference"/>
          <w:sz w:val="22"/>
          <w:szCs w:val="22"/>
        </w:rPr>
        <w:footnoteReference w:id="24"/>
      </w:r>
      <w:r w:rsidR="00DF4C80">
        <w:rPr>
          <w:sz w:val="22"/>
          <w:szCs w:val="22"/>
        </w:rPr>
        <w:t xml:space="preserve"> </w:t>
      </w:r>
      <w:r w:rsidR="000D6EE2" w:rsidRPr="00C06FEF">
        <w:rPr>
          <w:sz w:val="22"/>
          <w:szCs w:val="22"/>
        </w:rPr>
        <w:t>however, we claim that this attention emerges</w:t>
      </w:r>
      <w:r w:rsidR="009B32D4" w:rsidRPr="00C06FEF">
        <w:rPr>
          <w:sz w:val="22"/>
          <w:szCs w:val="22"/>
        </w:rPr>
        <w:t xml:space="preserve"> earlier than the wars in Yugoslavia and genocide in Rwanda</w:t>
      </w:r>
      <w:r w:rsidR="000D6EE2" w:rsidRPr="00C06FEF">
        <w:rPr>
          <w:sz w:val="22"/>
          <w:szCs w:val="22"/>
        </w:rPr>
        <w:t xml:space="preserve">, </w:t>
      </w:r>
      <w:r w:rsidR="00A83C44" w:rsidRPr="00C06FEF">
        <w:rPr>
          <w:sz w:val="22"/>
          <w:szCs w:val="22"/>
        </w:rPr>
        <w:t xml:space="preserve">and their subsequent international tribunals, </w:t>
      </w:r>
      <w:r w:rsidR="000D6EE2" w:rsidRPr="00C06FEF">
        <w:rPr>
          <w:sz w:val="22"/>
          <w:szCs w:val="22"/>
        </w:rPr>
        <w:t>which suggests different processes by w</w:t>
      </w:r>
      <w:r w:rsidR="00CB0B50" w:rsidRPr="00C06FEF">
        <w:rPr>
          <w:sz w:val="22"/>
          <w:szCs w:val="22"/>
        </w:rPr>
        <w:t>hich</w:t>
      </w:r>
      <w:r w:rsidR="000D6EE2" w:rsidRPr="00C06FEF">
        <w:rPr>
          <w:sz w:val="22"/>
          <w:szCs w:val="22"/>
        </w:rPr>
        <w:t xml:space="preserve"> gender-attentive TJ spread globally</w:t>
      </w:r>
      <w:r w:rsidR="008B0CC5" w:rsidRPr="00C06FEF">
        <w:rPr>
          <w:sz w:val="22"/>
          <w:szCs w:val="22"/>
        </w:rPr>
        <w:t xml:space="preserve"> than those that are emphasized in the broader literature</w:t>
      </w:r>
      <w:r w:rsidR="000D6EE2" w:rsidRPr="00C06FEF">
        <w:rPr>
          <w:sz w:val="22"/>
          <w:szCs w:val="22"/>
        </w:rPr>
        <w:t xml:space="preserve">. </w:t>
      </w:r>
      <w:r w:rsidR="002B3709">
        <w:rPr>
          <w:sz w:val="22"/>
          <w:szCs w:val="22"/>
        </w:rPr>
        <w:t xml:space="preserve">Gender-attentive TJ was not just </w:t>
      </w:r>
      <w:r w:rsidR="002B3709">
        <w:rPr>
          <w:sz w:val="22"/>
          <w:szCs w:val="22"/>
        </w:rPr>
        <w:lastRenderedPageBreak/>
        <w:t xml:space="preserve">advanced by international tribunals and actors, it was also driven by local activism, politics, and policy processes. </w:t>
      </w:r>
    </w:p>
    <w:p w14:paraId="22A1D2D8" w14:textId="77777777" w:rsidR="00E02BD1" w:rsidRDefault="00E02BD1" w:rsidP="00642DCA">
      <w:pPr>
        <w:spacing w:line="480" w:lineRule="auto"/>
      </w:pPr>
    </w:p>
    <w:p w14:paraId="4C283896" w14:textId="397D2804" w:rsidR="006E3330" w:rsidRPr="00904D79" w:rsidRDefault="006E3330" w:rsidP="00526055">
      <w:pPr>
        <w:spacing w:line="480" w:lineRule="auto"/>
      </w:pPr>
      <w:r w:rsidRPr="00904D79">
        <w:rPr>
          <w:b/>
          <w:bCs/>
        </w:rPr>
        <w:t xml:space="preserve">3. Gender and Transitional Justice: </w:t>
      </w:r>
      <w:r w:rsidR="00611D80" w:rsidRPr="00904D79">
        <w:rPr>
          <w:b/>
          <w:bCs/>
        </w:rPr>
        <w:t xml:space="preserve">Three </w:t>
      </w:r>
      <w:r w:rsidR="008270DA" w:rsidRPr="00904D79">
        <w:rPr>
          <w:b/>
          <w:bCs/>
        </w:rPr>
        <w:t>Critical</w:t>
      </w:r>
      <w:r w:rsidR="00954121" w:rsidRPr="00904D79">
        <w:rPr>
          <w:b/>
          <w:bCs/>
        </w:rPr>
        <w:t xml:space="preserve"> </w:t>
      </w:r>
      <w:r w:rsidRPr="00904D79">
        <w:rPr>
          <w:b/>
          <w:bCs/>
        </w:rPr>
        <w:t xml:space="preserve">Perspectives </w:t>
      </w:r>
    </w:p>
    <w:p w14:paraId="04F2F47B" w14:textId="39AA8105" w:rsidR="00611D80" w:rsidRPr="00904D79" w:rsidRDefault="008270DA" w:rsidP="00526055">
      <w:pPr>
        <w:spacing w:line="480" w:lineRule="auto"/>
        <w:rPr>
          <w:sz w:val="22"/>
          <w:szCs w:val="22"/>
        </w:rPr>
      </w:pPr>
      <w:r>
        <w:tab/>
      </w:r>
      <w:r w:rsidR="00112711">
        <w:rPr>
          <w:sz w:val="22"/>
          <w:szCs w:val="22"/>
        </w:rPr>
        <w:t xml:space="preserve">A </w:t>
      </w:r>
      <w:r w:rsidR="00954121" w:rsidRPr="00904D79">
        <w:rPr>
          <w:sz w:val="22"/>
          <w:szCs w:val="22"/>
        </w:rPr>
        <w:t xml:space="preserve">substantial body of scholarship has </w:t>
      </w:r>
      <w:r w:rsidR="00E876B1" w:rsidRPr="00904D79">
        <w:rPr>
          <w:sz w:val="22"/>
          <w:szCs w:val="22"/>
        </w:rPr>
        <w:t xml:space="preserve">critiqued how </w:t>
      </w:r>
      <w:r w:rsidRPr="00904D79">
        <w:rPr>
          <w:sz w:val="22"/>
          <w:szCs w:val="22"/>
        </w:rPr>
        <w:t xml:space="preserve">TJ </w:t>
      </w:r>
      <w:r w:rsidR="00E876B1" w:rsidRPr="00904D79">
        <w:rPr>
          <w:sz w:val="22"/>
          <w:szCs w:val="22"/>
        </w:rPr>
        <w:t xml:space="preserve">policies </w:t>
      </w:r>
      <w:r w:rsidRPr="00904D79">
        <w:rPr>
          <w:sz w:val="22"/>
          <w:szCs w:val="22"/>
        </w:rPr>
        <w:t xml:space="preserve">have </w:t>
      </w:r>
      <w:r w:rsidR="00E876B1" w:rsidRPr="00904D79">
        <w:rPr>
          <w:sz w:val="22"/>
          <w:szCs w:val="22"/>
        </w:rPr>
        <w:t>engage</w:t>
      </w:r>
      <w:r w:rsidR="006913AA" w:rsidRPr="00904D79">
        <w:rPr>
          <w:sz w:val="22"/>
          <w:szCs w:val="22"/>
        </w:rPr>
        <w:t>d</w:t>
      </w:r>
      <w:r w:rsidR="00E876B1" w:rsidRPr="00904D79">
        <w:rPr>
          <w:sz w:val="22"/>
          <w:szCs w:val="22"/>
        </w:rPr>
        <w:t xml:space="preserve"> gender</w:t>
      </w:r>
      <w:r w:rsidRPr="00904D79">
        <w:rPr>
          <w:sz w:val="22"/>
          <w:szCs w:val="22"/>
        </w:rPr>
        <w:t xml:space="preserve"> in practice</w:t>
      </w:r>
      <w:r w:rsidR="00E876B1" w:rsidRPr="00904D79">
        <w:rPr>
          <w:sz w:val="22"/>
          <w:szCs w:val="22"/>
        </w:rPr>
        <w:t xml:space="preserve">. </w:t>
      </w:r>
      <w:r w:rsidR="002B5041" w:rsidRPr="00904D79">
        <w:rPr>
          <w:sz w:val="22"/>
          <w:szCs w:val="22"/>
        </w:rPr>
        <w:t xml:space="preserve">We identify </w:t>
      </w:r>
      <w:r w:rsidR="008724E9" w:rsidRPr="00904D79">
        <w:rPr>
          <w:sz w:val="22"/>
          <w:szCs w:val="22"/>
        </w:rPr>
        <w:t>three</w:t>
      </w:r>
      <w:r w:rsidR="002B5041" w:rsidRPr="00904D79">
        <w:rPr>
          <w:sz w:val="22"/>
          <w:szCs w:val="22"/>
        </w:rPr>
        <w:t xml:space="preserve"> important </w:t>
      </w:r>
      <w:r w:rsidR="00E876B1" w:rsidRPr="00904D79">
        <w:rPr>
          <w:sz w:val="22"/>
          <w:szCs w:val="22"/>
        </w:rPr>
        <w:t>claims</w:t>
      </w:r>
      <w:r w:rsidR="003851ED" w:rsidRPr="00904D79">
        <w:rPr>
          <w:sz w:val="22"/>
          <w:szCs w:val="22"/>
        </w:rPr>
        <w:t xml:space="preserve"> i</w:t>
      </w:r>
      <w:r w:rsidR="00E876B1" w:rsidRPr="00904D79">
        <w:rPr>
          <w:sz w:val="22"/>
          <w:szCs w:val="22"/>
        </w:rPr>
        <w:t>n this</w:t>
      </w:r>
      <w:r w:rsidR="003851ED" w:rsidRPr="00904D79">
        <w:rPr>
          <w:sz w:val="22"/>
          <w:szCs w:val="22"/>
        </w:rPr>
        <w:t xml:space="preserve"> literature</w:t>
      </w:r>
      <w:r w:rsidR="00E876B1" w:rsidRPr="00904D79">
        <w:rPr>
          <w:sz w:val="22"/>
          <w:szCs w:val="22"/>
        </w:rPr>
        <w:t xml:space="preserve">. </w:t>
      </w:r>
      <w:r w:rsidR="005609E8" w:rsidRPr="00904D79">
        <w:rPr>
          <w:sz w:val="22"/>
          <w:szCs w:val="22"/>
        </w:rPr>
        <w:t>We first describe each argument</w:t>
      </w:r>
      <w:r w:rsidR="00825766" w:rsidRPr="00904D79">
        <w:rPr>
          <w:sz w:val="22"/>
          <w:szCs w:val="22"/>
        </w:rPr>
        <w:t xml:space="preserve">, </w:t>
      </w:r>
      <w:r w:rsidR="005609E8" w:rsidRPr="00904D79">
        <w:rPr>
          <w:sz w:val="22"/>
          <w:szCs w:val="22"/>
        </w:rPr>
        <w:t xml:space="preserve">then present descriptive statistics from our data on truth commissions, reparations, and prosecutions to explore how these arguments align with </w:t>
      </w:r>
      <w:r w:rsidR="00303905" w:rsidRPr="00904D79">
        <w:rPr>
          <w:sz w:val="22"/>
          <w:szCs w:val="22"/>
        </w:rPr>
        <w:t>changing</w:t>
      </w:r>
      <w:r w:rsidR="005609E8" w:rsidRPr="00904D79">
        <w:rPr>
          <w:sz w:val="22"/>
          <w:szCs w:val="22"/>
        </w:rPr>
        <w:t xml:space="preserve"> </w:t>
      </w:r>
      <w:r w:rsidR="006A0EA4" w:rsidRPr="00904D79">
        <w:rPr>
          <w:sz w:val="22"/>
          <w:szCs w:val="22"/>
        </w:rPr>
        <w:t xml:space="preserve">TJ </w:t>
      </w:r>
      <w:r w:rsidR="005609E8" w:rsidRPr="00904D79">
        <w:rPr>
          <w:sz w:val="22"/>
          <w:szCs w:val="22"/>
        </w:rPr>
        <w:t xml:space="preserve">practices over time. </w:t>
      </w:r>
    </w:p>
    <w:p w14:paraId="7F0D1D11" w14:textId="66A782E5" w:rsidR="006209A9" w:rsidRPr="00904D79" w:rsidRDefault="00303905" w:rsidP="00526055">
      <w:pPr>
        <w:pStyle w:val="NormalWeb"/>
        <w:spacing w:before="0" w:beforeAutospacing="0" w:after="0" w:afterAutospacing="0" w:line="480" w:lineRule="auto"/>
        <w:ind w:firstLine="720"/>
        <w:rPr>
          <w:rStyle w:val="highlight"/>
          <w:sz w:val="22"/>
          <w:szCs w:val="22"/>
        </w:rPr>
      </w:pPr>
      <w:r w:rsidRPr="00904D79">
        <w:rPr>
          <w:sz w:val="22"/>
          <w:szCs w:val="22"/>
        </w:rPr>
        <w:t>First, m</w:t>
      </w:r>
      <w:r w:rsidR="00CC710F" w:rsidRPr="00904D79">
        <w:rPr>
          <w:sz w:val="22"/>
          <w:szCs w:val="22"/>
        </w:rPr>
        <w:t xml:space="preserve">any scholars contend that </w:t>
      </w:r>
      <w:r w:rsidR="002644E1" w:rsidRPr="00904D79">
        <w:rPr>
          <w:sz w:val="22"/>
          <w:szCs w:val="22"/>
        </w:rPr>
        <w:t xml:space="preserve">TJ </w:t>
      </w:r>
      <w:r w:rsidR="00CC710F" w:rsidRPr="00904D79">
        <w:rPr>
          <w:sz w:val="22"/>
          <w:szCs w:val="22"/>
        </w:rPr>
        <w:t xml:space="preserve">policies ignore gender-based harms. </w:t>
      </w:r>
      <w:r w:rsidR="00AA0500" w:rsidRPr="00904D79">
        <w:rPr>
          <w:sz w:val="22"/>
          <w:szCs w:val="22"/>
        </w:rPr>
        <w:t xml:space="preserve">Writing in 2009, </w:t>
      </w:r>
      <w:r w:rsidR="004D2541" w:rsidRPr="00904D79">
        <w:rPr>
          <w:sz w:val="22"/>
          <w:szCs w:val="22"/>
        </w:rPr>
        <w:t>Ní Aoláin</w:t>
      </w:r>
      <w:r w:rsidR="00524FDE" w:rsidRPr="00904D79">
        <w:rPr>
          <w:sz w:val="22"/>
          <w:szCs w:val="22"/>
        </w:rPr>
        <w:t xml:space="preserve"> </w:t>
      </w:r>
      <w:r w:rsidR="00AE0DDA" w:rsidRPr="00904D79">
        <w:rPr>
          <w:sz w:val="22"/>
          <w:szCs w:val="22"/>
        </w:rPr>
        <w:t>argue</w:t>
      </w:r>
      <w:r w:rsidR="00AA0500" w:rsidRPr="00904D79">
        <w:rPr>
          <w:sz w:val="22"/>
          <w:szCs w:val="22"/>
        </w:rPr>
        <w:t>s</w:t>
      </w:r>
      <w:r w:rsidR="00AE0DDA" w:rsidRPr="00904D79">
        <w:rPr>
          <w:sz w:val="22"/>
          <w:szCs w:val="22"/>
        </w:rPr>
        <w:t xml:space="preserve"> that women</w:t>
      </w:r>
      <w:r w:rsidR="00CE1BB4" w:rsidRPr="00904D79">
        <w:rPr>
          <w:sz w:val="22"/>
          <w:szCs w:val="22"/>
        </w:rPr>
        <w:t>’s experiences of harm ha</w:t>
      </w:r>
      <w:r w:rsidR="00AC59D1" w:rsidRPr="00904D79">
        <w:rPr>
          <w:sz w:val="22"/>
          <w:szCs w:val="22"/>
        </w:rPr>
        <w:t>ve</w:t>
      </w:r>
      <w:r w:rsidR="00CE1BB4" w:rsidRPr="00904D79">
        <w:rPr>
          <w:sz w:val="22"/>
          <w:szCs w:val="22"/>
        </w:rPr>
        <w:t xml:space="preserve"> been “ignored and/or sidelined”</w:t>
      </w:r>
      <w:r w:rsidR="00AE0DDA" w:rsidRPr="00904D79">
        <w:rPr>
          <w:sz w:val="22"/>
          <w:szCs w:val="22"/>
        </w:rPr>
        <w:t xml:space="preserve"> from transitional justice, </w:t>
      </w:r>
      <w:r w:rsidR="002F5797" w:rsidRPr="00904D79">
        <w:rPr>
          <w:sz w:val="22"/>
          <w:szCs w:val="22"/>
        </w:rPr>
        <w:t xml:space="preserve">and </w:t>
      </w:r>
      <w:r w:rsidR="00442F58" w:rsidRPr="00904D79">
        <w:rPr>
          <w:sz w:val="22"/>
          <w:szCs w:val="22"/>
        </w:rPr>
        <w:t>follows up a decade later</w:t>
      </w:r>
      <w:r w:rsidR="00CE1BB4" w:rsidRPr="00904D79">
        <w:rPr>
          <w:sz w:val="22"/>
          <w:szCs w:val="22"/>
        </w:rPr>
        <w:t xml:space="preserve"> </w:t>
      </w:r>
      <w:r w:rsidR="00524FDE" w:rsidRPr="00904D79">
        <w:rPr>
          <w:sz w:val="22"/>
          <w:szCs w:val="22"/>
        </w:rPr>
        <w:t xml:space="preserve">that </w:t>
      </w:r>
      <w:r w:rsidR="00966B99" w:rsidRPr="00904D79">
        <w:rPr>
          <w:sz w:val="22"/>
          <w:szCs w:val="22"/>
        </w:rPr>
        <w:t>“despite scholarly, policy, and political attention, gender justice has been given only limited attention in what might be regarded as traditional transitional-justice contexts, with little consistency in application or outcomes</w:t>
      </w:r>
      <w:r w:rsidR="00EB178F" w:rsidRPr="00904D79">
        <w:rPr>
          <w:sz w:val="22"/>
          <w:szCs w:val="22"/>
        </w:rPr>
        <w:t>.</w:t>
      </w:r>
      <w:r w:rsidR="004D045B" w:rsidRPr="00904D79">
        <w:rPr>
          <w:sz w:val="22"/>
          <w:szCs w:val="22"/>
        </w:rPr>
        <w:t>”</w:t>
      </w:r>
      <w:r w:rsidR="00966B99" w:rsidRPr="00904D79">
        <w:rPr>
          <w:rStyle w:val="FootnoteReference"/>
          <w:sz w:val="22"/>
          <w:szCs w:val="22"/>
        </w:rPr>
        <w:footnoteReference w:id="25"/>
      </w:r>
      <w:r w:rsidR="00966B99" w:rsidRPr="00904D79">
        <w:rPr>
          <w:sz w:val="22"/>
          <w:szCs w:val="22"/>
        </w:rPr>
        <w:t xml:space="preserve">  </w:t>
      </w:r>
      <w:r w:rsidR="00A957BD" w:rsidRPr="00904D79">
        <w:rPr>
          <w:sz w:val="22"/>
          <w:szCs w:val="22"/>
        </w:rPr>
        <w:t xml:space="preserve">This </w:t>
      </w:r>
      <w:r w:rsidR="00EB178F" w:rsidRPr="00904D79">
        <w:rPr>
          <w:sz w:val="22"/>
          <w:szCs w:val="22"/>
        </w:rPr>
        <w:t xml:space="preserve">concern </w:t>
      </w:r>
      <w:r w:rsidR="004B750F" w:rsidRPr="00904D79">
        <w:rPr>
          <w:sz w:val="22"/>
          <w:szCs w:val="22"/>
        </w:rPr>
        <w:t xml:space="preserve">has </w:t>
      </w:r>
      <w:r w:rsidR="00A957BD" w:rsidRPr="00904D79">
        <w:rPr>
          <w:sz w:val="22"/>
          <w:szCs w:val="22"/>
        </w:rPr>
        <w:t xml:space="preserve">been echoed </w:t>
      </w:r>
      <w:r w:rsidR="00A83C44" w:rsidRPr="00904D79">
        <w:rPr>
          <w:sz w:val="22"/>
          <w:szCs w:val="22"/>
        </w:rPr>
        <w:t xml:space="preserve">and expanded on </w:t>
      </w:r>
      <w:r w:rsidR="00A957BD" w:rsidRPr="00904D79">
        <w:rPr>
          <w:sz w:val="22"/>
          <w:szCs w:val="22"/>
        </w:rPr>
        <w:t xml:space="preserve">by other </w:t>
      </w:r>
      <w:r w:rsidR="001E1143" w:rsidRPr="00904D79">
        <w:rPr>
          <w:sz w:val="22"/>
          <w:szCs w:val="22"/>
        </w:rPr>
        <w:t>researchers</w:t>
      </w:r>
      <w:r w:rsidR="00EB178F" w:rsidRPr="00904D79">
        <w:rPr>
          <w:sz w:val="22"/>
          <w:szCs w:val="22"/>
        </w:rPr>
        <w:t>.</w:t>
      </w:r>
      <w:r w:rsidR="00DE44FD" w:rsidRPr="00904D79">
        <w:rPr>
          <w:rStyle w:val="FootnoteReference"/>
          <w:sz w:val="22"/>
          <w:szCs w:val="22"/>
        </w:rPr>
        <w:footnoteReference w:id="26"/>
      </w:r>
      <w:r w:rsidR="00633490" w:rsidRPr="00904D79">
        <w:rPr>
          <w:rStyle w:val="highlight"/>
          <w:sz w:val="22"/>
          <w:szCs w:val="22"/>
        </w:rPr>
        <w:t xml:space="preserve"> </w:t>
      </w:r>
    </w:p>
    <w:p w14:paraId="6DF6E251" w14:textId="589B9737" w:rsidR="00C351DC" w:rsidRPr="00904D79" w:rsidRDefault="0032790E" w:rsidP="00526055">
      <w:pPr>
        <w:spacing w:line="480" w:lineRule="auto"/>
        <w:ind w:firstLine="720"/>
        <w:rPr>
          <w:sz w:val="22"/>
          <w:szCs w:val="22"/>
        </w:rPr>
      </w:pPr>
      <w:r w:rsidRPr="00904D79">
        <w:rPr>
          <w:sz w:val="22"/>
          <w:szCs w:val="22"/>
        </w:rPr>
        <w:t xml:space="preserve">Second, scholars have </w:t>
      </w:r>
      <w:r w:rsidR="00112711">
        <w:rPr>
          <w:sz w:val="22"/>
          <w:szCs w:val="22"/>
        </w:rPr>
        <w:t xml:space="preserve">argued </w:t>
      </w:r>
      <w:r w:rsidRPr="00904D79">
        <w:rPr>
          <w:sz w:val="22"/>
          <w:szCs w:val="22"/>
        </w:rPr>
        <w:t xml:space="preserve">that when </w:t>
      </w:r>
      <w:r w:rsidR="00987119" w:rsidRPr="00904D79">
        <w:rPr>
          <w:sz w:val="22"/>
          <w:szCs w:val="22"/>
        </w:rPr>
        <w:t xml:space="preserve">TJ </w:t>
      </w:r>
      <w:r w:rsidRPr="00904D79">
        <w:rPr>
          <w:sz w:val="22"/>
          <w:szCs w:val="22"/>
        </w:rPr>
        <w:t>policies pay attention to</w:t>
      </w:r>
      <w:r w:rsidR="00987119" w:rsidRPr="00904D79">
        <w:rPr>
          <w:sz w:val="22"/>
          <w:szCs w:val="22"/>
        </w:rPr>
        <w:t xml:space="preserve"> gender-based harms</w:t>
      </w:r>
      <w:r w:rsidRPr="00904D79">
        <w:rPr>
          <w:sz w:val="22"/>
          <w:szCs w:val="22"/>
        </w:rPr>
        <w:t xml:space="preserve">, </w:t>
      </w:r>
      <w:r w:rsidR="00987119" w:rsidRPr="00904D79">
        <w:rPr>
          <w:sz w:val="22"/>
          <w:szCs w:val="22"/>
        </w:rPr>
        <w:t xml:space="preserve">they adopt a narrow definition of </w:t>
      </w:r>
      <w:r w:rsidR="00987119" w:rsidRPr="00904D79">
        <w:rPr>
          <w:i/>
          <w:iCs/>
          <w:sz w:val="22"/>
          <w:szCs w:val="22"/>
        </w:rPr>
        <w:t>gender</w:t>
      </w:r>
      <w:r w:rsidRPr="00904D79">
        <w:rPr>
          <w:sz w:val="22"/>
          <w:szCs w:val="22"/>
        </w:rPr>
        <w:t xml:space="preserve">, limited to </w:t>
      </w:r>
      <w:r w:rsidR="004C1CA6" w:rsidRPr="00904D79">
        <w:rPr>
          <w:sz w:val="22"/>
          <w:szCs w:val="22"/>
        </w:rPr>
        <w:t xml:space="preserve">the experiences of </w:t>
      </w:r>
      <w:r w:rsidRPr="00904D79">
        <w:rPr>
          <w:sz w:val="22"/>
          <w:szCs w:val="22"/>
        </w:rPr>
        <w:t xml:space="preserve">women while excluding </w:t>
      </w:r>
      <w:r w:rsidR="004C1CA6" w:rsidRPr="00904D79">
        <w:rPr>
          <w:sz w:val="22"/>
          <w:szCs w:val="22"/>
        </w:rPr>
        <w:t xml:space="preserve">those of </w:t>
      </w:r>
      <w:r w:rsidRPr="00904D79">
        <w:rPr>
          <w:sz w:val="22"/>
          <w:szCs w:val="22"/>
        </w:rPr>
        <w:t xml:space="preserve">men, </w:t>
      </w:r>
      <w:r w:rsidRPr="00904D79">
        <w:rPr>
          <w:sz w:val="22"/>
          <w:szCs w:val="22"/>
        </w:rPr>
        <w:lastRenderedPageBreak/>
        <w:t>boys, and LGBTQI+ individuals.</w:t>
      </w:r>
      <w:r w:rsidR="00C351DC" w:rsidRPr="00904D79">
        <w:rPr>
          <w:rStyle w:val="FootnoteReference"/>
          <w:sz w:val="22"/>
          <w:szCs w:val="22"/>
        </w:rPr>
        <w:footnoteReference w:id="27"/>
      </w:r>
      <w:r w:rsidR="00F451FD" w:rsidRPr="00904D79">
        <w:rPr>
          <w:sz w:val="22"/>
          <w:szCs w:val="22"/>
        </w:rPr>
        <w:t xml:space="preserve"> </w:t>
      </w:r>
      <w:r w:rsidR="00981325" w:rsidRPr="00904D79">
        <w:rPr>
          <w:sz w:val="22"/>
          <w:szCs w:val="22"/>
        </w:rPr>
        <w:t>Despite recent signs of change</w:t>
      </w:r>
      <w:r w:rsidR="004E041D" w:rsidRPr="00904D79">
        <w:rPr>
          <w:sz w:val="22"/>
          <w:szCs w:val="22"/>
        </w:rPr>
        <w:t>,</w:t>
      </w:r>
      <w:r w:rsidR="00F451FD" w:rsidRPr="00904D79">
        <w:rPr>
          <w:rStyle w:val="FootnoteReference"/>
          <w:sz w:val="22"/>
          <w:szCs w:val="22"/>
        </w:rPr>
        <w:footnoteReference w:id="28"/>
      </w:r>
      <w:r w:rsidR="004E041D" w:rsidRPr="00904D79">
        <w:rPr>
          <w:sz w:val="22"/>
          <w:szCs w:val="22"/>
        </w:rPr>
        <w:t xml:space="preserve"> </w:t>
      </w:r>
      <w:r w:rsidR="00981325" w:rsidRPr="00904D79">
        <w:rPr>
          <w:sz w:val="22"/>
          <w:szCs w:val="22"/>
        </w:rPr>
        <w:t xml:space="preserve">this body of research suggests that </w:t>
      </w:r>
      <w:r w:rsidR="004E041D" w:rsidRPr="00904D79">
        <w:rPr>
          <w:sz w:val="22"/>
          <w:szCs w:val="22"/>
        </w:rPr>
        <w:t xml:space="preserve">defining gender-based violence narrowly has resulted in </w:t>
      </w:r>
      <w:r w:rsidR="006352F7" w:rsidRPr="00904D79">
        <w:rPr>
          <w:sz w:val="22"/>
          <w:szCs w:val="22"/>
        </w:rPr>
        <w:t>TJ</w:t>
      </w:r>
      <w:r w:rsidR="004E041D" w:rsidRPr="00904D79">
        <w:rPr>
          <w:sz w:val="22"/>
          <w:szCs w:val="22"/>
        </w:rPr>
        <w:t xml:space="preserve"> policies</w:t>
      </w:r>
      <w:r w:rsidR="00981325" w:rsidRPr="00904D79">
        <w:rPr>
          <w:sz w:val="22"/>
          <w:szCs w:val="22"/>
        </w:rPr>
        <w:t xml:space="preserve"> that</w:t>
      </w:r>
      <w:r w:rsidR="004E041D" w:rsidRPr="00904D79">
        <w:rPr>
          <w:sz w:val="22"/>
          <w:szCs w:val="22"/>
        </w:rPr>
        <w:t xml:space="preserve"> systematically ignor</w:t>
      </w:r>
      <w:r w:rsidR="00981325" w:rsidRPr="00904D79">
        <w:rPr>
          <w:sz w:val="22"/>
          <w:szCs w:val="22"/>
        </w:rPr>
        <w:t>e</w:t>
      </w:r>
      <w:r w:rsidR="004E041D" w:rsidRPr="00904D79">
        <w:rPr>
          <w:sz w:val="22"/>
          <w:szCs w:val="22"/>
        </w:rPr>
        <w:t xml:space="preserve"> gender-bas</w:t>
      </w:r>
      <w:r w:rsidR="00981325" w:rsidRPr="00904D79">
        <w:rPr>
          <w:sz w:val="22"/>
          <w:szCs w:val="22"/>
        </w:rPr>
        <w:t>ed</w:t>
      </w:r>
      <w:r w:rsidR="004E041D" w:rsidRPr="00904D79">
        <w:rPr>
          <w:sz w:val="22"/>
          <w:szCs w:val="22"/>
        </w:rPr>
        <w:t xml:space="preserve"> harms suffered by men, boys, and LGBTQI+ individuals</w:t>
      </w:r>
      <w:r w:rsidR="00F63134" w:rsidRPr="00904D79">
        <w:rPr>
          <w:sz w:val="22"/>
          <w:szCs w:val="22"/>
        </w:rPr>
        <w:t>.</w:t>
      </w:r>
      <w:r w:rsidR="00112711">
        <w:rPr>
          <w:sz w:val="22"/>
          <w:szCs w:val="22"/>
        </w:rPr>
        <w:t xml:space="preserve"> </w:t>
      </w:r>
    </w:p>
    <w:p w14:paraId="04BAA2C6" w14:textId="798E1107" w:rsidR="00AC2EF1" w:rsidRPr="00904D79" w:rsidRDefault="00987119" w:rsidP="00CE30F4">
      <w:pPr>
        <w:spacing w:line="480" w:lineRule="auto"/>
        <w:ind w:firstLine="720"/>
        <w:rPr>
          <w:sz w:val="22"/>
          <w:szCs w:val="22"/>
        </w:rPr>
      </w:pPr>
      <w:r w:rsidRPr="00904D79">
        <w:rPr>
          <w:sz w:val="22"/>
          <w:szCs w:val="22"/>
        </w:rPr>
        <w:t xml:space="preserve">Third, scholars have claimed that when TJ policies pay attention to gender-based harms, they adopt a narrow definition of </w:t>
      </w:r>
      <w:r w:rsidRPr="00904D79">
        <w:rPr>
          <w:i/>
          <w:iCs/>
          <w:sz w:val="22"/>
          <w:szCs w:val="22"/>
        </w:rPr>
        <w:t>harms</w:t>
      </w:r>
      <w:r w:rsidR="00D66E8C" w:rsidRPr="00904D79">
        <w:rPr>
          <w:i/>
          <w:iCs/>
          <w:sz w:val="22"/>
          <w:szCs w:val="22"/>
        </w:rPr>
        <w:t xml:space="preserve"> </w:t>
      </w:r>
      <w:r w:rsidR="00D66E8C" w:rsidRPr="00904D79">
        <w:rPr>
          <w:sz w:val="22"/>
          <w:szCs w:val="22"/>
        </w:rPr>
        <w:t xml:space="preserve">focusing on </w:t>
      </w:r>
      <w:r w:rsidRPr="00904D79">
        <w:rPr>
          <w:sz w:val="22"/>
          <w:szCs w:val="22"/>
        </w:rPr>
        <w:t>physical harm and</w:t>
      </w:r>
      <w:r w:rsidR="00BE22C8" w:rsidRPr="00904D79">
        <w:rPr>
          <w:sz w:val="22"/>
          <w:szCs w:val="22"/>
        </w:rPr>
        <w:t>,</w:t>
      </w:r>
      <w:r w:rsidRPr="00904D79">
        <w:rPr>
          <w:sz w:val="22"/>
          <w:szCs w:val="22"/>
        </w:rPr>
        <w:t xml:space="preserve"> especially</w:t>
      </w:r>
      <w:r w:rsidR="00BE22C8" w:rsidRPr="00904D79">
        <w:rPr>
          <w:sz w:val="22"/>
          <w:szCs w:val="22"/>
        </w:rPr>
        <w:t>,</w:t>
      </w:r>
      <w:r w:rsidRPr="00904D79">
        <w:rPr>
          <w:sz w:val="22"/>
          <w:szCs w:val="22"/>
        </w:rPr>
        <w:t xml:space="preserve"> rape.</w:t>
      </w:r>
      <w:r w:rsidR="002B01DA" w:rsidRPr="00904D79">
        <w:rPr>
          <w:rStyle w:val="FootnoteReference"/>
          <w:sz w:val="22"/>
          <w:szCs w:val="22"/>
        </w:rPr>
        <w:footnoteReference w:id="29"/>
      </w:r>
      <w:r w:rsidR="00F451FD" w:rsidRPr="00904D79">
        <w:rPr>
          <w:sz w:val="22"/>
          <w:szCs w:val="22"/>
        </w:rPr>
        <w:t xml:space="preserve"> </w:t>
      </w:r>
      <w:r w:rsidR="00112711">
        <w:rPr>
          <w:sz w:val="22"/>
          <w:szCs w:val="22"/>
        </w:rPr>
        <w:t xml:space="preserve"> Both the second and third arguments implicitly endorse what we call the crowding out thesis, or the argument that attention to one kind of gender harm </w:t>
      </w:r>
      <w:r w:rsidR="002B3709">
        <w:rPr>
          <w:sz w:val="22"/>
          <w:szCs w:val="22"/>
        </w:rPr>
        <w:t xml:space="preserve">precludes </w:t>
      </w:r>
      <w:r w:rsidR="00112711">
        <w:rPr>
          <w:sz w:val="22"/>
          <w:szCs w:val="22"/>
        </w:rPr>
        <w:t>attention to other kinds of gender harm. For example, c</w:t>
      </w:r>
      <w:r w:rsidR="001E7CB8" w:rsidRPr="00904D79">
        <w:rPr>
          <w:sz w:val="22"/>
          <w:szCs w:val="22"/>
        </w:rPr>
        <w:t>ritics argue that the narrow focus on wartime rape</w:t>
      </w:r>
      <w:r w:rsidR="001106AC" w:rsidRPr="00904D79">
        <w:rPr>
          <w:sz w:val="22"/>
          <w:szCs w:val="22"/>
        </w:rPr>
        <w:t xml:space="preserve"> </w:t>
      </w:r>
      <w:r w:rsidR="001E7CB8" w:rsidRPr="00904D79">
        <w:rPr>
          <w:sz w:val="22"/>
          <w:szCs w:val="22"/>
        </w:rPr>
        <w:t>crowds out attention to other types of gender-based violence</w:t>
      </w:r>
      <w:r w:rsidR="00C864ED" w:rsidRPr="00904D79">
        <w:rPr>
          <w:sz w:val="22"/>
          <w:szCs w:val="22"/>
        </w:rPr>
        <w:t>,</w:t>
      </w:r>
      <w:r w:rsidR="001E7CB8" w:rsidRPr="00904D79">
        <w:rPr>
          <w:sz w:val="22"/>
          <w:szCs w:val="22"/>
        </w:rPr>
        <w:t xml:space="preserve"> </w:t>
      </w:r>
      <w:r w:rsidR="00B915E2" w:rsidRPr="00904D79">
        <w:rPr>
          <w:sz w:val="22"/>
          <w:szCs w:val="22"/>
        </w:rPr>
        <w:t>like</w:t>
      </w:r>
      <w:r w:rsidR="001E7CB8" w:rsidRPr="00904D79">
        <w:rPr>
          <w:sz w:val="22"/>
          <w:szCs w:val="22"/>
        </w:rPr>
        <w:t xml:space="preserve"> the role gender inequalities</w:t>
      </w:r>
      <w:r w:rsidR="007929E7">
        <w:rPr>
          <w:sz w:val="22"/>
          <w:szCs w:val="22"/>
        </w:rPr>
        <w:t>, such as a lack of property and inheritance rights,</w:t>
      </w:r>
      <w:r w:rsidR="00204DE5" w:rsidRPr="00904D79">
        <w:rPr>
          <w:sz w:val="22"/>
          <w:szCs w:val="22"/>
        </w:rPr>
        <w:t xml:space="preserve"> </w:t>
      </w:r>
      <w:r w:rsidR="001E7CB8" w:rsidRPr="00904D79">
        <w:rPr>
          <w:sz w:val="22"/>
          <w:szCs w:val="22"/>
        </w:rPr>
        <w:t>play in enabling sexual violence.</w:t>
      </w:r>
      <w:r w:rsidR="001E7CB8" w:rsidRPr="00904D79">
        <w:rPr>
          <w:rStyle w:val="FootnoteReference"/>
          <w:sz w:val="22"/>
          <w:szCs w:val="22"/>
        </w:rPr>
        <w:footnoteReference w:id="30"/>
      </w:r>
      <w:r w:rsidR="00204DE5" w:rsidRPr="00904D79">
        <w:rPr>
          <w:sz w:val="22"/>
          <w:szCs w:val="22"/>
        </w:rPr>
        <w:t xml:space="preserve"> </w:t>
      </w:r>
      <w:r w:rsidR="001E7CB8" w:rsidRPr="00904D79">
        <w:rPr>
          <w:sz w:val="22"/>
          <w:szCs w:val="22"/>
        </w:rPr>
        <w:t>The</w:t>
      </w:r>
      <w:r w:rsidR="00EF2B18" w:rsidRPr="00904D79">
        <w:rPr>
          <w:sz w:val="22"/>
          <w:szCs w:val="22"/>
        </w:rPr>
        <w:t xml:space="preserve"> narrow understanding of harms </w:t>
      </w:r>
      <w:r w:rsidR="002E29BC" w:rsidRPr="00904D79">
        <w:rPr>
          <w:sz w:val="22"/>
          <w:szCs w:val="22"/>
        </w:rPr>
        <w:t>as</w:t>
      </w:r>
      <w:r w:rsidR="00371112" w:rsidRPr="00904D79">
        <w:rPr>
          <w:sz w:val="22"/>
          <w:szCs w:val="22"/>
        </w:rPr>
        <w:t xml:space="preserve"> physical violations </w:t>
      </w:r>
      <w:r w:rsidR="00EF2B18" w:rsidRPr="00904D79">
        <w:rPr>
          <w:sz w:val="22"/>
          <w:szCs w:val="22"/>
        </w:rPr>
        <w:t xml:space="preserve">is contrasted with a </w:t>
      </w:r>
      <w:r w:rsidR="00EF2B18" w:rsidRPr="00904D79">
        <w:rPr>
          <w:sz w:val="22"/>
          <w:szCs w:val="22"/>
        </w:rPr>
        <w:lastRenderedPageBreak/>
        <w:t>broader and more “transformative” view of harms</w:t>
      </w:r>
      <w:r w:rsidR="00AF5506" w:rsidRPr="00904D79">
        <w:rPr>
          <w:sz w:val="22"/>
          <w:szCs w:val="22"/>
        </w:rPr>
        <w:t xml:space="preserve"> </w:t>
      </w:r>
      <w:r w:rsidR="00EF2B18" w:rsidRPr="00904D79">
        <w:rPr>
          <w:sz w:val="22"/>
          <w:szCs w:val="22"/>
        </w:rPr>
        <w:t xml:space="preserve">that might foster </w:t>
      </w:r>
      <w:r w:rsidR="00AF5506" w:rsidRPr="00904D79">
        <w:rPr>
          <w:sz w:val="22"/>
          <w:szCs w:val="22"/>
        </w:rPr>
        <w:t xml:space="preserve">autonomy and </w:t>
      </w:r>
      <w:r w:rsidR="00EF2B18" w:rsidRPr="00904D79">
        <w:rPr>
          <w:sz w:val="22"/>
          <w:szCs w:val="22"/>
        </w:rPr>
        <w:t>economic rights by providing, for example, land restitution for women.</w:t>
      </w:r>
      <w:r w:rsidR="00EF2B18" w:rsidRPr="00904D79">
        <w:rPr>
          <w:rStyle w:val="FootnoteReference"/>
          <w:sz w:val="22"/>
          <w:szCs w:val="22"/>
        </w:rPr>
        <w:footnoteReference w:id="31"/>
      </w:r>
      <w:r w:rsidR="00EF2B18" w:rsidRPr="00904D79">
        <w:rPr>
          <w:sz w:val="22"/>
          <w:szCs w:val="22"/>
        </w:rPr>
        <w:t xml:space="preserve"> </w:t>
      </w:r>
    </w:p>
    <w:p w14:paraId="3D13D04E" w14:textId="77777777" w:rsidR="00AC2EF1" w:rsidRDefault="00AC2EF1" w:rsidP="00526055">
      <w:pPr>
        <w:spacing w:line="480" w:lineRule="auto"/>
        <w:rPr>
          <w:b/>
          <w:bCs/>
          <w:sz w:val="28"/>
          <w:szCs w:val="28"/>
        </w:rPr>
      </w:pPr>
    </w:p>
    <w:p w14:paraId="6B7137A0" w14:textId="77777777" w:rsidR="00ED124F" w:rsidRPr="00904D79" w:rsidRDefault="00ED124F" w:rsidP="00ED124F">
      <w:pPr>
        <w:spacing w:line="480" w:lineRule="auto"/>
      </w:pPr>
      <w:r w:rsidRPr="00904D79">
        <w:rPr>
          <w:b/>
          <w:bCs/>
        </w:rPr>
        <w:t>4. Transitional Justice Data: Trials, Truth Commissions, and Reparations</w:t>
      </w:r>
    </w:p>
    <w:p w14:paraId="716FF420" w14:textId="487DF4C2" w:rsidR="00ED124F" w:rsidRDefault="00ED124F" w:rsidP="00ED124F">
      <w:pPr>
        <w:autoSpaceDE w:val="0"/>
        <w:autoSpaceDN w:val="0"/>
        <w:adjustRightInd w:val="0"/>
        <w:spacing w:line="480" w:lineRule="auto"/>
        <w:ind w:firstLine="720"/>
        <w:rPr>
          <w:sz w:val="22"/>
          <w:szCs w:val="22"/>
        </w:rPr>
      </w:pPr>
      <w:r w:rsidRPr="00904D79">
        <w:rPr>
          <w:sz w:val="22"/>
          <w:szCs w:val="22"/>
        </w:rPr>
        <w:t>In our broader research, we collect</w:t>
      </w:r>
      <w:r>
        <w:rPr>
          <w:sz w:val="22"/>
          <w:szCs w:val="22"/>
        </w:rPr>
        <w:t>ed</w:t>
      </w:r>
      <w:r w:rsidRPr="00904D79">
        <w:rPr>
          <w:sz w:val="22"/>
          <w:szCs w:val="22"/>
        </w:rPr>
        <w:t xml:space="preserve"> data on all international and domestic human rights trials, </w:t>
      </w:r>
      <w:r>
        <w:rPr>
          <w:sz w:val="22"/>
          <w:szCs w:val="22"/>
        </w:rPr>
        <w:t xml:space="preserve">truth commissions, and reparations for human rights violations </w:t>
      </w:r>
      <w:r w:rsidR="009B196D">
        <w:rPr>
          <w:sz w:val="22"/>
          <w:szCs w:val="22"/>
        </w:rPr>
        <w:t xml:space="preserve">from 1970 </w:t>
      </w:r>
      <w:r>
        <w:rPr>
          <w:sz w:val="22"/>
          <w:szCs w:val="22"/>
        </w:rPr>
        <w:t>through 2020. Here, we focus on the subset of these policies that qualify as transitional justice policies, defined as those that address</w:t>
      </w:r>
      <w:r w:rsidRPr="00904D79">
        <w:rPr>
          <w:sz w:val="22"/>
          <w:szCs w:val="22"/>
        </w:rPr>
        <w:t xml:space="preserve"> violations that occurred during conflict or authoritarian rule.</w:t>
      </w:r>
      <w:r>
        <w:rPr>
          <w:rStyle w:val="FootnoteReference"/>
          <w:sz w:val="22"/>
          <w:szCs w:val="22"/>
        </w:rPr>
        <w:footnoteReference w:id="32"/>
      </w:r>
      <w:r w:rsidRPr="00904D79">
        <w:rPr>
          <w:sz w:val="22"/>
          <w:szCs w:val="22"/>
        </w:rPr>
        <w:t xml:space="preserve"> We first describe </w:t>
      </w:r>
      <w:r>
        <w:rPr>
          <w:sz w:val="22"/>
          <w:szCs w:val="22"/>
        </w:rPr>
        <w:t>our data collection and coding methodology. W</w:t>
      </w:r>
      <w:r w:rsidRPr="00904D79">
        <w:rPr>
          <w:sz w:val="22"/>
          <w:szCs w:val="22"/>
        </w:rPr>
        <w:t>e then use these data to explore how the various arguments advanced in the literature correspond with the empirical record.</w:t>
      </w:r>
    </w:p>
    <w:p w14:paraId="1F1326BB" w14:textId="15F2DE6C" w:rsidR="00ED124F" w:rsidRDefault="00ED124F" w:rsidP="00ED124F">
      <w:pPr>
        <w:pStyle w:val="NormalWeb"/>
        <w:spacing w:before="0" w:beforeAutospacing="0" w:after="0" w:afterAutospacing="0" w:line="480" w:lineRule="auto"/>
        <w:ind w:firstLine="720"/>
        <w:rPr>
          <w:color w:val="000000"/>
          <w:sz w:val="22"/>
          <w:szCs w:val="22"/>
        </w:rPr>
      </w:pPr>
      <w:r w:rsidRPr="00904D79">
        <w:rPr>
          <w:color w:val="000000"/>
          <w:sz w:val="22"/>
          <w:szCs w:val="22"/>
        </w:rPr>
        <w:t>There are important limitations to what we can learn from these data. In particular, the data reveals variation in the adoption of TJ policies over time but does not directly measure changes in</w:t>
      </w:r>
      <w:r w:rsidR="00FB448C">
        <w:rPr>
          <w:color w:val="000000"/>
          <w:sz w:val="22"/>
          <w:szCs w:val="22"/>
        </w:rPr>
        <w:t xml:space="preserve"> </w:t>
      </w:r>
      <w:r w:rsidR="00DF4C80">
        <w:rPr>
          <w:color w:val="000000"/>
          <w:sz w:val="22"/>
          <w:szCs w:val="22"/>
        </w:rPr>
        <w:t xml:space="preserve">gender crimes. </w:t>
      </w:r>
      <w:r w:rsidRPr="00904D79">
        <w:rPr>
          <w:color w:val="000000"/>
          <w:sz w:val="22"/>
          <w:szCs w:val="22"/>
        </w:rPr>
        <w:t>Therefore, we focus our analysis and discussion on explaining variation in states’ policy choices rather than, for example, the effectiveness of TJ policies.</w:t>
      </w:r>
    </w:p>
    <w:p w14:paraId="4D24A26F" w14:textId="77777777" w:rsidR="00AD76C6" w:rsidRDefault="00AD76C6" w:rsidP="00ED124F">
      <w:pPr>
        <w:pStyle w:val="NormalWeb"/>
        <w:spacing w:before="0" w:beforeAutospacing="0" w:after="0" w:afterAutospacing="0" w:line="480" w:lineRule="auto"/>
        <w:rPr>
          <w:color w:val="000000"/>
          <w:sz w:val="22"/>
          <w:szCs w:val="22"/>
        </w:rPr>
      </w:pPr>
    </w:p>
    <w:p w14:paraId="31587FC6" w14:textId="49E81C13" w:rsidR="00556FCF" w:rsidRDefault="00556FCF">
      <w:pPr>
        <w:rPr>
          <w:b/>
          <w:bCs/>
        </w:rPr>
      </w:pPr>
    </w:p>
    <w:p w14:paraId="78375370" w14:textId="7612E0C9" w:rsidR="006631F9" w:rsidRPr="00904D79" w:rsidRDefault="005B7F81" w:rsidP="00526055">
      <w:pPr>
        <w:spacing w:line="480" w:lineRule="auto"/>
        <w:rPr>
          <w:b/>
          <w:bCs/>
        </w:rPr>
      </w:pPr>
      <w:r w:rsidRPr="00904D79">
        <w:rPr>
          <w:b/>
          <w:bCs/>
        </w:rPr>
        <w:t>5. Analysis: Exploring the Arguments with Evidence</w:t>
      </w:r>
      <w:r w:rsidR="007F60C3">
        <w:rPr>
          <w:b/>
          <w:bCs/>
        </w:rPr>
        <w:t xml:space="preserve"> from </w:t>
      </w:r>
      <w:r w:rsidR="007718E3">
        <w:rPr>
          <w:b/>
          <w:bCs/>
        </w:rPr>
        <w:t xml:space="preserve">a New Global </w:t>
      </w:r>
      <w:r w:rsidR="007F60C3">
        <w:rPr>
          <w:b/>
          <w:bCs/>
        </w:rPr>
        <w:t>Data</w:t>
      </w:r>
      <w:r w:rsidR="007718E3">
        <w:rPr>
          <w:b/>
          <w:bCs/>
        </w:rPr>
        <w:t>b</w:t>
      </w:r>
      <w:r w:rsidR="007F60C3">
        <w:rPr>
          <w:b/>
          <w:bCs/>
        </w:rPr>
        <w:t>ase</w:t>
      </w:r>
    </w:p>
    <w:p w14:paraId="25B28E27" w14:textId="29830342" w:rsidR="0085743A" w:rsidRPr="00904D79" w:rsidRDefault="00836EDB" w:rsidP="00526055">
      <w:pPr>
        <w:spacing w:line="480" w:lineRule="auto"/>
        <w:rPr>
          <w:b/>
          <w:bCs/>
          <w:i/>
          <w:iCs/>
        </w:rPr>
      </w:pPr>
      <w:r w:rsidRPr="00904D79">
        <w:rPr>
          <w:b/>
          <w:bCs/>
          <w:i/>
          <w:iCs/>
        </w:rPr>
        <w:t xml:space="preserve">5.1 </w:t>
      </w:r>
      <w:r w:rsidR="0085743A" w:rsidRPr="00904D79">
        <w:rPr>
          <w:b/>
          <w:bCs/>
          <w:i/>
          <w:iCs/>
        </w:rPr>
        <w:t>Emergence</w:t>
      </w:r>
    </w:p>
    <w:p w14:paraId="2172B868" w14:textId="04F64619" w:rsidR="00C75CC1" w:rsidRPr="00904D79" w:rsidRDefault="00813F0E" w:rsidP="00526055">
      <w:pPr>
        <w:spacing w:line="480" w:lineRule="auto"/>
        <w:rPr>
          <w:sz w:val="22"/>
          <w:szCs w:val="22"/>
        </w:rPr>
      </w:pPr>
      <w:r>
        <w:rPr>
          <w:b/>
          <w:bCs/>
        </w:rPr>
        <w:tab/>
      </w:r>
      <w:r w:rsidRPr="00904D79">
        <w:rPr>
          <w:sz w:val="22"/>
          <w:szCs w:val="22"/>
        </w:rPr>
        <w:t xml:space="preserve">We begin our analysis by exploring the emergence of gender-attentive transitional justice policies over time. </w:t>
      </w:r>
      <w:r w:rsidR="00953B2E" w:rsidRPr="00904D79">
        <w:rPr>
          <w:sz w:val="22"/>
          <w:szCs w:val="22"/>
        </w:rPr>
        <w:t xml:space="preserve">One critical perspective concerning emergence is that TJ policies </w:t>
      </w:r>
      <w:r w:rsidR="00B610A3">
        <w:rPr>
          <w:sz w:val="22"/>
          <w:szCs w:val="22"/>
        </w:rPr>
        <w:t xml:space="preserve">mainly </w:t>
      </w:r>
      <w:r w:rsidR="00953B2E" w:rsidRPr="00904D79">
        <w:rPr>
          <w:sz w:val="22"/>
          <w:szCs w:val="22"/>
        </w:rPr>
        <w:t xml:space="preserve">ignore gender-based harms, suggesting </w:t>
      </w:r>
      <w:r w:rsidR="00ED1C3E" w:rsidRPr="00904D79">
        <w:rPr>
          <w:sz w:val="22"/>
          <w:szCs w:val="22"/>
        </w:rPr>
        <w:t>we</w:t>
      </w:r>
      <w:r w:rsidR="00953B2E" w:rsidRPr="00904D79">
        <w:rPr>
          <w:sz w:val="22"/>
          <w:szCs w:val="22"/>
        </w:rPr>
        <w:t xml:space="preserve"> should not </w:t>
      </w:r>
      <w:r w:rsidR="00ED1C3E" w:rsidRPr="00904D79">
        <w:rPr>
          <w:sz w:val="22"/>
          <w:szCs w:val="22"/>
        </w:rPr>
        <w:t>observe</w:t>
      </w:r>
      <w:r w:rsidR="00953B2E" w:rsidRPr="00904D79">
        <w:rPr>
          <w:sz w:val="22"/>
          <w:szCs w:val="22"/>
        </w:rPr>
        <w:t xml:space="preserve"> a systematic change in gender-attentive TJ policies over time. A </w:t>
      </w:r>
      <w:r w:rsidR="00953B2E" w:rsidRPr="00904D79">
        <w:rPr>
          <w:sz w:val="22"/>
          <w:szCs w:val="22"/>
        </w:rPr>
        <w:lastRenderedPageBreak/>
        <w:t xml:space="preserve">second argument we explore is </w:t>
      </w:r>
      <w:r w:rsidRPr="00904D79">
        <w:rPr>
          <w:sz w:val="22"/>
          <w:szCs w:val="22"/>
        </w:rPr>
        <w:t>that gender-attentive TJ emerged following</w:t>
      </w:r>
      <w:r w:rsidR="00425DCB" w:rsidRPr="00904D79">
        <w:rPr>
          <w:sz w:val="22"/>
          <w:szCs w:val="22"/>
        </w:rPr>
        <w:t xml:space="preserve"> </w:t>
      </w:r>
      <w:r w:rsidRPr="00904D79">
        <w:rPr>
          <w:sz w:val="22"/>
          <w:szCs w:val="22"/>
        </w:rPr>
        <w:t xml:space="preserve">atrocities in Rwanda and the former Yugoslavia </w:t>
      </w:r>
      <w:r w:rsidR="00425DCB" w:rsidRPr="00904D79">
        <w:rPr>
          <w:sz w:val="22"/>
          <w:szCs w:val="22"/>
        </w:rPr>
        <w:t>due to</w:t>
      </w:r>
      <w:r w:rsidRPr="00904D79">
        <w:rPr>
          <w:sz w:val="22"/>
          <w:szCs w:val="22"/>
        </w:rPr>
        <w:t xml:space="preserve"> demands </w:t>
      </w:r>
      <w:r w:rsidR="00425DCB" w:rsidRPr="00904D79">
        <w:rPr>
          <w:sz w:val="22"/>
          <w:szCs w:val="22"/>
        </w:rPr>
        <w:t xml:space="preserve">in Europe and North America for </w:t>
      </w:r>
      <w:r w:rsidRPr="00904D79">
        <w:rPr>
          <w:sz w:val="22"/>
          <w:szCs w:val="22"/>
        </w:rPr>
        <w:t xml:space="preserve">accountability </w:t>
      </w:r>
      <w:r w:rsidR="00425DCB" w:rsidRPr="00904D79">
        <w:rPr>
          <w:sz w:val="22"/>
          <w:szCs w:val="22"/>
        </w:rPr>
        <w:t>for these crimes.</w:t>
      </w:r>
      <w:r w:rsidR="003D0700">
        <w:rPr>
          <w:rStyle w:val="FootnoteReference"/>
          <w:sz w:val="22"/>
          <w:szCs w:val="22"/>
        </w:rPr>
        <w:footnoteReference w:id="33"/>
      </w:r>
      <w:r w:rsidR="00425DCB" w:rsidRPr="00904D79">
        <w:rPr>
          <w:sz w:val="22"/>
          <w:szCs w:val="22"/>
        </w:rPr>
        <w:t xml:space="preserve"> This</w:t>
      </w:r>
      <w:r w:rsidR="00C51A51" w:rsidRPr="00904D79">
        <w:rPr>
          <w:sz w:val="22"/>
          <w:szCs w:val="22"/>
        </w:rPr>
        <w:t xml:space="preserve"> theory</w:t>
      </w:r>
      <w:r w:rsidR="00425DCB" w:rsidRPr="00904D79">
        <w:rPr>
          <w:sz w:val="22"/>
          <w:szCs w:val="22"/>
        </w:rPr>
        <w:t xml:space="preserve"> suggests that gender-attentive TJ should first </w:t>
      </w:r>
      <w:r w:rsidR="00D70E88" w:rsidRPr="00904D79">
        <w:rPr>
          <w:sz w:val="22"/>
          <w:szCs w:val="22"/>
        </w:rPr>
        <w:t>appear</w:t>
      </w:r>
      <w:r w:rsidR="00425DCB" w:rsidRPr="00904D79">
        <w:rPr>
          <w:sz w:val="22"/>
          <w:szCs w:val="22"/>
        </w:rPr>
        <w:t xml:space="preserve"> in international tribunals in the mid-1990s. </w:t>
      </w:r>
      <w:r w:rsidRPr="00904D79">
        <w:rPr>
          <w:sz w:val="22"/>
          <w:szCs w:val="22"/>
        </w:rPr>
        <w:t>Our argument</w:t>
      </w:r>
      <w:r w:rsidR="00BC073E" w:rsidRPr="00904D79">
        <w:rPr>
          <w:sz w:val="22"/>
          <w:szCs w:val="22"/>
        </w:rPr>
        <w:t xml:space="preserve"> </w:t>
      </w:r>
      <w:r w:rsidR="00AE3991" w:rsidRPr="00904D79">
        <w:rPr>
          <w:sz w:val="22"/>
          <w:szCs w:val="22"/>
        </w:rPr>
        <w:t>–</w:t>
      </w:r>
      <w:r w:rsidR="00BC073E" w:rsidRPr="00904D79">
        <w:rPr>
          <w:sz w:val="22"/>
          <w:szCs w:val="22"/>
        </w:rPr>
        <w:t xml:space="preserve"> </w:t>
      </w:r>
      <w:r w:rsidRPr="00904D79">
        <w:rPr>
          <w:sz w:val="22"/>
          <w:szCs w:val="22"/>
        </w:rPr>
        <w:t xml:space="preserve">that </w:t>
      </w:r>
      <w:r w:rsidR="00425DCB" w:rsidRPr="00904D79">
        <w:rPr>
          <w:sz w:val="22"/>
          <w:szCs w:val="22"/>
        </w:rPr>
        <w:t>gender-attentive TJ grew from</w:t>
      </w:r>
      <w:r w:rsidRPr="00904D79">
        <w:rPr>
          <w:sz w:val="22"/>
          <w:szCs w:val="22"/>
        </w:rPr>
        <w:t xml:space="preserve"> the global women’s movement</w:t>
      </w:r>
      <w:r w:rsidR="00BC073E" w:rsidRPr="00904D79">
        <w:rPr>
          <w:sz w:val="22"/>
          <w:szCs w:val="22"/>
        </w:rPr>
        <w:t xml:space="preserve"> </w:t>
      </w:r>
      <w:r w:rsidR="00AE3991" w:rsidRPr="00904D79">
        <w:rPr>
          <w:sz w:val="22"/>
          <w:szCs w:val="22"/>
        </w:rPr>
        <w:t>–</w:t>
      </w:r>
      <w:r w:rsidR="00BC073E" w:rsidRPr="00904D79">
        <w:rPr>
          <w:sz w:val="22"/>
          <w:szCs w:val="22"/>
        </w:rPr>
        <w:t xml:space="preserve"> </w:t>
      </w:r>
      <w:r w:rsidRPr="00904D79">
        <w:rPr>
          <w:sz w:val="22"/>
          <w:szCs w:val="22"/>
        </w:rPr>
        <w:t xml:space="preserve">suggests that </w:t>
      </w:r>
      <w:r w:rsidR="00E87CAB" w:rsidRPr="00904D79">
        <w:rPr>
          <w:sz w:val="22"/>
          <w:szCs w:val="22"/>
        </w:rPr>
        <w:t>attention to gender</w:t>
      </w:r>
      <w:r w:rsidR="00425DCB" w:rsidRPr="00904D79">
        <w:rPr>
          <w:sz w:val="22"/>
          <w:szCs w:val="22"/>
        </w:rPr>
        <w:t xml:space="preserve"> should have emerged earlier and in local contexts connected to the women’s movement. </w:t>
      </w:r>
    </w:p>
    <w:p w14:paraId="68ACBE24" w14:textId="5B2F0B02" w:rsidR="00C75CC1" w:rsidRPr="00904D79" w:rsidRDefault="00C75CC1" w:rsidP="00526055">
      <w:pPr>
        <w:spacing w:line="480" w:lineRule="auto"/>
        <w:rPr>
          <w:sz w:val="22"/>
          <w:szCs w:val="22"/>
        </w:rPr>
      </w:pPr>
      <w:r w:rsidRPr="00904D79">
        <w:rPr>
          <w:sz w:val="22"/>
          <w:szCs w:val="22"/>
        </w:rPr>
        <w:tab/>
        <w:t xml:space="preserve">Figure 2 presents </w:t>
      </w:r>
      <w:r w:rsidR="003962DF" w:rsidRPr="00904D79">
        <w:rPr>
          <w:sz w:val="22"/>
          <w:szCs w:val="22"/>
        </w:rPr>
        <w:t xml:space="preserve">data on the number of </w:t>
      </w:r>
      <w:r w:rsidR="00445BC5" w:rsidRPr="00904D79">
        <w:rPr>
          <w:sz w:val="22"/>
          <w:szCs w:val="22"/>
        </w:rPr>
        <w:t>transitional justice</w:t>
      </w:r>
      <w:r w:rsidR="003962DF" w:rsidRPr="00904D79">
        <w:rPr>
          <w:sz w:val="22"/>
          <w:szCs w:val="22"/>
        </w:rPr>
        <w:t xml:space="preserve"> trials from 1970 through 2020. The left pane depicts the total</w:t>
      </w:r>
      <w:r w:rsidRPr="00904D79">
        <w:rPr>
          <w:sz w:val="22"/>
          <w:szCs w:val="22"/>
        </w:rPr>
        <w:t xml:space="preserve"> </w:t>
      </w:r>
      <w:r w:rsidR="003962DF" w:rsidRPr="00904D79">
        <w:rPr>
          <w:sz w:val="22"/>
          <w:szCs w:val="22"/>
        </w:rPr>
        <w:t xml:space="preserve">number of </w:t>
      </w:r>
      <w:r w:rsidR="00D07732" w:rsidRPr="00904D79">
        <w:rPr>
          <w:sz w:val="22"/>
          <w:szCs w:val="22"/>
        </w:rPr>
        <w:t>TJ</w:t>
      </w:r>
      <w:r w:rsidR="003962DF" w:rsidRPr="00904D79">
        <w:rPr>
          <w:sz w:val="22"/>
          <w:szCs w:val="22"/>
        </w:rPr>
        <w:t xml:space="preserve"> trials occurring in </w:t>
      </w:r>
      <w:r w:rsidR="00011056" w:rsidRPr="00904D79">
        <w:rPr>
          <w:sz w:val="22"/>
          <w:szCs w:val="22"/>
        </w:rPr>
        <w:t xml:space="preserve">either </w:t>
      </w:r>
      <w:r w:rsidR="003962DF" w:rsidRPr="00904D79">
        <w:rPr>
          <w:sz w:val="22"/>
          <w:szCs w:val="22"/>
        </w:rPr>
        <w:t>domestic</w:t>
      </w:r>
      <w:r w:rsidR="00011056" w:rsidRPr="00904D79">
        <w:rPr>
          <w:sz w:val="22"/>
          <w:szCs w:val="22"/>
        </w:rPr>
        <w:t xml:space="preserve"> or</w:t>
      </w:r>
      <w:r w:rsidR="003962DF" w:rsidRPr="00904D79">
        <w:rPr>
          <w:sz w:val="22"/>
          <w:szCs w:val="22"/>
        </w:rPr>
        <w:t xml:space="preserve"> international </w:t>
      </w:r>
      <w:r w:rsidR="00011056" w:rsidRPr="00904D79">
        <w:rPr>
          <w:sz w:val="22"/>
          <w:szCs w:val="22"/>
        </w:rPr>
        <w:t>courts</w:t>
      </w:r>
      <w:r w:rsidR="003962DF" w:rsidRPr="00904D79">
        <w:rPr>
          <w:sz w:val="22"/>
          <w:szCs w:val="22"/>
        </w:rPr>
        <w:t xml:space="preserve">. The right pane </w:t>
      </w:r>
      <w:r w:rsidR="004474F3" w:rsidRPr="00904D79">
        <w:rPr>
          <w:sz w:val="22"/>
          <w:szCs w:val="22"/>
        </w:rPr>
        <w:t>shows</w:t>
      </w:r>
      <w:r w:rsidR="003962DF" w:rsidRPr="00904D79">
        <w:rPr>
          <w:sz w:val="22"/>
          <w:szCs w:val="22"/>
        </w:rPr>
        <w:t xml:space="preserve"> the total number of gender-attentive</w:t>
      </w:r>
      <w:r w:rsidR="009614A1" w:rsidRPr="00904D79">
        <w:rPr>
          <w:sz w:val="22"/>
          <w:szCs w:val="22"/>
        </w:rPr>
        <w:t xml:space="preserve"> TJ</w:t>
      </w:r>
      <w:r w:rsidR="003962DF" w:rsidRPr="00904D79">
        <w:rPr>
          <w:sz w:val="22"/>
          <w:szCs w:val="22"/>
        </w:rPr>
        <w:t xml:space="preserve"> trials </w:t>
      </w:r>
      <w:r w:rsidR="00011056" w:rsidRPr="00904D79">
        <w:rPr>
          <w:sz w:val="22"/>
          <w:szCs w:val="22"/>
        </w:rPr>
        <w:t xml:space="preserve">appearing </w:t>
      </w:r>
      <w:r w:rsidR="003962DF" w:rsidRPr="00904D79">
        <w:rPr>
          <w:sz w:val="22"/>
          <w:szCs w:val="22"/>
        </w:rPr>
        <w:t xml:space="preserve">in the same setting during the same </w:t>
      </w:r>
      <w:r w:rsidR="00257599" w:rsidRPr="00904D79">
        <w:rPr>
          <w:sz w:val="22"/>
          <w:szCs w:val="22"/>
        </w:rPr>
        <w:t>period</w:t>
      </w:r>
      <w:r w:rsidR="003962DF" w:rsidRPr="00904D79">
        <w:rPr>
          <w:sz w:val="22"/>
          <w:szCs w:val="22"/>
        </w:rPr>
        <w:t xml:space="preserve">. </w:t>
      </w:r>
      <w:r w:rsidR="004F2829" w:rsidRPr="00904D79">
        <w:rPr>
          <w:sz w:val="22"/>
          <w:szCs w:val="22"/>
        </w:rPr>
        <w:t xml:space="preserve">Figure 2 reveals that </w:t>
      </w:r>
      <w:r w:rsidR="00953B2E" w:rsidRPr="00904D79">
        <w:rPr>
          <w:sz w:val="22"/>
          <w:szCs w:val="22"/>
        </w:rPr>
        <w:t xml:space="preserve">TJ </w:t>
      </w:r>
      <w:r w:rsidR="004F2829" w:rsidRPr="00904D79">
        <w:rPr>
          <w:sz w:val="22"/>
          <w:szCs w:val="22"/>
        </w:rPr>
        <w:t xml:space="preserve">trials in domestic courts appear earlier and more often than trials in international courts. Critically, it also shows that the first gender-attentive trials </w:t>
      </w:r>
      <w:r w:rsidR="00011056" w:rsidRPr="00904D79">
        <w:rPr>
          <w:sz w:val="22"/>
          <w:szCs w:val="22"/>
        </w:rPr>
        <w:t>occurred</w:t>
      </w:r>
      <w:r w:rsidR="004F2829" w:rsidRPr="00904D79">
        <w:rPr>
          <w:sz w:val="22"/>
          <w:szCs w:val="22"/>
        </w:rPr>
        <w:t xml:space="preserve"> in domestic courts in the early 1980s, nearly one decade before</w:t>
      </w:r>
      <w:r w:rsidR="001946A7">
        <w:rPr>
          <w:sz w:val="22"/>
          <w:szCs w:val="22"/>
        </w:rPr>
        <w:t xml:space="preserve"> the ICTY and ICTR were established. </w:t>
      </w:r>
      <w:r w:rsidR="004F2829" w:rsidRPr="00904D79">
        <w:rPr>
          <w:sz w:val="22"/>
          <w:szCs w:val="22"/>
        </w:rPr>
        <w:t xml:space="preserve"> </w:t>
      </w:r>
    </w:p>
    <w:p w14:paraId="1EF27B3B" w14:textId="51D9DCDB" w:rsidR="00556FCF" w:rsidRDefault="00556FCF">
      <w:pPr>
        <w:rPr>
          <w:noProof/>
          <w:sz w:val="22"/>
          <w:szCs w:val="22"/>
        </w:rPr>
      </w:pPr>
    </w:p>
    <w:p w14:paraId="597B990C" w14:textId="5B78BD81" w:rsidR="00994260" w:rsidRPr="00904D79" w:rsidRDefault="00821985" w:rsidP="00526055">
      <w:pPr>
        <w:spacing w:line="480" w:lineRule="auto"/>
        <w:rPr>
          <w:noProof/>
          <w:sz w:val="22"/>
          <w:szCs w:val="22"/>
        </w:rPr>
      </w:pPr>
      <w:r>
        <w:rPr>
          <w:noProof/>
          <w:sz w:val="22"/>
          <w:szCs w:val="22"/>
        </w:rPr>
        <w:drawing>
          <wp:inline distT="0" distB="0" distL="0" distR="0" wp14:anchorId="6AFC32D3" wp14:editId="3689A03A">
            <wp:extent cx="2865120" cy="2292096"/>
            <wp:effectExtent l="0" t="0" r="5080" b="0"/>
            <wp:docPr id="1115704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04418" name="Picture 111570441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4864" cy="2323891"/>
                    </a:xfrm>
                    <a:prstGeom prst="rect">
                      <a:avLst/>
                    </a:prstGeom>
                  </pic:spPr>
                </pic:pic>
              </a:graphicData>
            </a:graphic>
          </wp:inline>
        </w:drawing>
      </w:r>
      <w:r>
        <w:rPr>
          <w:noProof/>
          <w:sz w:val="22"/>
          <w:szCs w:val="22"/>
        </w:rPr>
        <w:drawing>
          <wp:inline distT="0" distB="0" distL="0" distR="0" wp14:anchorId="582D7553" wp14:editId="5E4FCD73">
            <wp:extent cx="2915920" cy="2332736"/>
            <wp:effectExtent l="0" t="0" r="5080" b="4445"/>
            <wp:docPr id="2052490357" name="Picture 3" descr="A graph showing the number of tri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490357" name="Picture 3" descr="A graph showing the number of trial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32839" cy="2346271"/>
                    </a:xfrm>
                    <a:prstGeom prst="rect">
                      <a:avLst/>
                    </a:prstGeom>
                  </pic:spPr>
                </pic:pic>
              </a:graphicData>
            </a:graphic>
          </wp:inline>
        </w:drawing>
      </w:r>
    </w:p>
    <w:p w14:paraId="18E48F04" w14:textId="653F7233" w:rsidR="00661626" w:rsidRPr="00904D79" w:rsidRDefault="00994260" w:rsidP="00526055">
      <w:pPr>
        <w:rPr>
          <w:sz w:val="22"/>
          <w:szCs w:val="22"/>
        </w:rPr>
      </w:pPr>
      <w:r w:rsidRPr="00904D79">
        <w:rPr>
          <w:b/>
          <w:bCs/>
          <w:sz w:val="22"/>
          <w:szCs w:val="22"/>
        </w:rPr>
        <w:t>Figure 2</w:t>
      </w:r>
      <w:r w:rsidRPr="00904D79">
        <w:rPr>
          <w:sz w:val="22"/>
          <w:szCs w:val="22"/>
        </w:rPr>
        <w:t xml:space="preserve">. </w:t>
      </w:r>
      <w:r w:rsidRPr="00904D79">
        <w:rPr>
          <w:i/>
          <w:iCs/>
          <w:sz w:val="22"/>
          <w:szCs w:val="22"/>
        </w:rPr>
        <w:t>Emergence of Gender-Attentive Transitional Justice Trials, 1970-20</w:t>
      </w:r>
      <w:r w:rsidR="00442606">
        <w:rPr>
          <w:i/>
          <w:iCs/>
          <w:sz w:val="22"/>
          <w:szCs w:val="22"/>
        </w:rPr>
        <w:t>2</w:t>
      </w:r>
      <w:r w:rsidRPr="00904D79">
        <w:rPr>
          <w:i/>
          <w:iCs/>
          <w:sz w:val="22"/>
          <w:szCs w:val="22"/>
        </w:rPr>
        <w:t>0</w:t>
      </w:r>
      <w:r w:rsidRPr="00904D79">
        <w:rPr>
          <w:sz w:val="22"/>
          <w:szCs w:val="22"/>
        </w:rPr>
        <w:t xml:space="preserve">. Left: Total number of </w:t>
      </w:r>
      <w:r w:rsidR="00E31049" w:rsidRPr="00904D79">
        <w:rPr>
          <w:sz w:val="22"/>
          <w:szCs w:val="22"/>
        </w:rPr>
        <w:t xml:space="preserve">domestic versus international </w:t>
      </w:r>
      <w:r w:rsidRPr="00904D79">
        <w:rPr>
          <w:sz w:val="22"/>
          <w:szCs w:val="22"/>
        </w:rPr>
        <w:t xml:space="preserve">transitional justice trials begun each year. Right: Number </w:t>
      </w:r>
      <w:r w:rsidR="00F6365D" w:rsidRPr="00904D79">
        <w:rPr>
          <w:sz w:val="22"/>
          <w:szCs w:val="22"/>
        </w:rPr>
        <w:t xml:space="preserve">of </w:t>
      </w:r>
      <w:r w:rsidRPr="00904D79">
        <w:rPr>
          <w:sz w:val="22"/>
          <w:szCs w:val="22"/>
        </w:rPr>
        <w:t xml:space="preserve">gender-attentive </w:t>
      </w:r>
      <w:r w:rsidR="00E31049" w:rsidRPr="00904D79">
        <w:rPr>
          <w:sz w:val="22"/>
          <w:szCs w:val="22"/>
        </w:rPr>
        <w:t xml:space="preserve">domestic versus international </w:t>
      </w:r>
      <w:r w:rsidRPr="00904D79">
        <w:rPr>
          <w:sz w:val="22"/>
          <w:szCs w:val="22"/>
        </w:rPr>
        <w:t>trials begun each year.</w:t>
      </w:r>
    </w:p>
    <w:p w14:paraId="727787A7" w14:textId="77777777" w:rsidR="004613B3" w:rsidRPr="00904D79" w:rsidRDefault="004613B3" w:rsidP="00526055">
      <w:pPr>
        <w:rPr>
          <w:sz w:val="22"/>
          <w:szCs w:val="22"/>
        </w:rPr>
      </w:pPr>
    </w:p>
    <w:p w14:paraId="382ECD02" w14:textId="77777777" w:rsidR="00526055" w:rsidRPr="00904D79" w:rsidRDefault="00526055" w:rsidP="00526055">
      <w:pPr>
        <w:rPr>
          <w:sz w:val="22"/>
          <w:szCs w:val="22"/>
        </w:rPr>
      </w:pPr>
    </w:p>
    <w:p w14:paraId="0B1FDF9F" w14:textId="02E517B3" w:rsidR="002679E9" w:rsidRPr="00904D79" w:rsidRDefault="00661626" w:rsidP="00A63F27">
      <w:pPr>
        <w:spacing w:line="480" w:lineRule="auto"/>
        <w:ind w:firstLine="720"/>
        <w:rPr>
          <w:sz w:val="22"/>
          <w:szCs w:val="22"/>
        </w:rPr>
      </w:pPr>
      <w:r w:rsidRPr="00904D79">
        <w:rPr>
          <w:sz w:val="22"/>
          <w:szCs w:val="22"/>
        </w:rPr>
        <w:t xml:space="preserve">These patterns are important for disentangling competing explanations for the emergence of gender-attentive </w:t>
      </w:r>
      <w:r w:rsidR="00AB647C" w:rsidRPr="00904D79">
        <w:rPr>
          <w:sz w:val="22"/>
          <w:szCs w:val="22"/>
        </w:rPr>
        <w:t>TJ</w:t>
      </w:r>
      <w:r w:rsidRPr="00904D79">
        <w:rPr>
          <w:sz w:val="22"/>
          <w:szCs w:val="22"/>
        </w:rPr>
        <w:t xml:space="preserve">. </w:t>
      </w:r>
      <w:r w:rsidR="002679E9" w:rsidRPr="00904D79">
        <w:rPr>
          <w:sz w:val="22"/>
          <w:szCs w:val="22"/>
        </w:rPr>
        <w:t>The first gender-attentive international trials occur</w:t>
      </w:r>
      <w:r w:rsidR="00FE1F94">
        <w:rPr>
          <w:sz w:val="22"/>
          <w:szCs w:val="22"/>
        </w:rPr>
        <w:t>red in 1994 and concerned crimes committed in Bosnia; however, nine gender-attentive trials occurred</w:t>
      </w:r>
      <w:r w:rsidR="002679E9" w:rsidRPr="00904D79">
        <w:rPr>
          <w:sz w:val="22"/>
          <w:szCs w:val="22"/>
        </w:rPr>
        <w:t xml:space="preserve"> in domestic courts before 1994, seven in Latin America and two in India. </w:t>
      </w:r>
      <w:r w:rsidR="00A77DC8" w:rsidRPr="00904D79">
        <w:rPr>
          <w:sz w:val="22"/>
          <w:szCs w:val="22"/>
        </w:rPr>
        <w:t xml:space="preserve">This timing and geographic distribution correspond with the legal efforts of the global feminist movement. </w:t>
      </w:r>
      <w:r w:rsidR="002679E9" w:rsidRPr="00904D79">
        <w:rPr>
          <w:sz w:val="22"/>
          <w:szCs w:val="22"/>
        </w:rPr>
        <w:t xml:space="preserve">Latin America </w:t>
      </w:r>
      <w:r w:rsidR="00A63F27">
        <w:rPr>
          <w:sz w:val="22"/>
          <w:szCs w:val="22"/>
        </w:rPr>
        <w:t>developed the first treaty addressing</w:t>
      </w:r>
      <w:r w:rsidR="002679E9" w:rsidRPr="00904D79">
        <w:rPr>
          <w:sz w:val="22"/>
          <w:szCs w:val="22"/>
        </w:rPr>
        <w:t xml:space="preserve"> </w:t>
      </w:r>
      <w:r w:rsidR="00A63F27">
        <w:rPr>
          <w:sz w:val="22"/>
          <w:szCs w:val="22"/>
        </w:rPr>
        <w:t>v</w:t>
      </w:r>
      <w:r w:rsidR="002679E9" w:rsidRPr="00904D79">
        <w:rPr>
          <w:sz w:val="22"/>
          <w:szCs w:val="22"/>
        </w:rPr>
        <w:t xml:space="preserve">iolence </w:t>
      </w:r>
      <w:r w:rsidR="00A63F27">
        <w:rPr>
          <w:sz w:val="22"/>
          <w:szCs w:val="22"/>
        </w:rPr>
        <w:t>a</w:t>
      </w:r>
      <w:r w:rsidR="002679E9" w:rsidRPr="00904D79">
        <w:rPr>
          <w:sz w:val="22"/>
          <w:szCs w:val="22"/>
        </w:rPr>
        <w:t xml:space="preserve">gainst </w:t>
      </w:r>
      <w:r w:rsidR="00A63F27">
        <w:rPr>
          <w:sz w:val="22"/>
          <w:szCs w:val="22"/>
        </w:rPr>
        <w:t>w</w:t>
      </w:r>
      <w:r w:rsidR="002679E9" w:rsidRPr="00904D79">
        <w:rPr>
          <w:sz w:val="22"/>
          <w:szCs w:val="22"/>
        </w:rPr>
        <w:t>omen</w:t>
      </w:r>
      <w:r w:rsidR="00A63F27">
        <w:rPr>
          <w:sz w:val="22"/>
          <w:szCs w:val="22"/>
        </w:rPr>
        <w:t>:</w:t>
      </w:r>
      <w:r w:rsidR="002679E9" w:rsidRPr="00904D79">
        <w:rPr>
          <w:sz w:val="22"/>
          <w:szCs w:val="22"/>
        </w:rPr>
        <w:t xml:space="preserve"> the Inter-American Convention on the Prevention, Punishment, and Eradication of Violence against Women.</w:t>
      </w:r>
      <w:r w:rsidR="00302471" w:rsidRPr="00904D79">
        <w:rPr>
          <w:rStyle w:val="FootnoteReference"/>
          <w:sz w:val="22"/>
          <w:szCs w:val="22"/>
        </w:rPr>
        <w:footnoteReference w:id="34"/>
      </w:r>
      <w:r w:rsidR="002679E9" w:rsidRPr="00904D79">
        <w:rPr>
          <w:sz w:val="22"/>
          <w:szCs w:val="22"/>
        </w:rPr>
        <w:t xml:space="preserve"> </w:t>
      </w:r>
      <w:r w:rsidR="00A63F27">
        <w:rPr>
          <w:sz w:val="22"/>
          <w:szCs w:val="22"/>
        </w:rPr>
        <w:t>The Inter-American Convention was drafted</w:t>
      </w:r>
      <w:r w:rsidR="00A63F27" w:rsidRPr="00C06FEF">
        <w:rPr>
          <w:sz w:val="22"/>
          <w:szCs w:val="22"/>
        </w:rPr>
        <w:t xml:space="preserve"> in the early 1990s </w:t>
      </w:r>
      <w:r w:rsidR="00A63F27">
        <w:rPr>
          <w:sz w:val="22"/>
          <w:szCs w:val="22"/>
        </w:rPr>
        <w:t xml:space="preserve">and </w:t>
      </w:r>
      <w:r w:rsidR="00A63F27" w:rsidRPr="00904D79">
        <w:rPr>
          <w:sz w:val="22"/>
          <w:szCs w:val="22"/>
        </w:rPr>
        <w:t>adopted in 1994</w:t>
      </w:r>
      <w:r w:rsidR="00A63F27">
        <w:rPr>
          <w:sz w:val="22"/>
          <w:szCs w:val="22"/>
        </w:rPr>
        <w:t xml:space="preserve"> </w:t>
      </w:r>
      <w:r w:rsidR="007F60C3">
        <w:rPr>
          <w:sz w:val="22"/>
          <w:szCs w:val="22"/>
        </w:rPr>
        <w:t xml:space="preserve">at the same time as </w:t>
      </w:r>
      <w:r w:rsidR="00A63F27" w:rsidRPr="00C06FEF">
        <w:rPr>
          <w:sz w:val="22"/>
          <w:szCs w:val="22"/>
        </w:rPr>
        <w:t xml:space="preserve">the violence </w:t>
      </w:r>
      <w:r w:rsidR="007F60C3">
        <w:rPr>
          <w:sz w:val="22"/>
          <w:szCs w:val="22"/>
        </w:rPr>
        <w:t xml:space="preserve">began </w:t>
      </w:r>
      <w:r w:rsidR="00A63F27" w:rsidRPr="00C06FEF">
        <w:rPr>
          <w:sz w:val="22"/>
          <w:szCs w:val="22"/>
        </w:rPr>
        <w:t>in the Balkans and Rwanda and well before the first gender decisions of the ICTY and the ICTR.</w:t>
      </w:r>
      <w:r w:rsidR="00A63F27">
        <w:rPr>
          <w:sz w:val="22"/>
          <w:szCs w:val="22"/>
        </w:rPr>
        <w:t xml:space="preserve"> </w:t>
      </w:r>
      <w:r w:rsidR="00A77DC8" w:rsidRPr="00904D79">
        <w:rPr>
          <w:sz w:val="22"/>
          <w:szCs w:val="22"/>
        </w:rPr>
        <w:t>The substantial increase in gender-attentive trials in both domestic and international courts in the late 1990s is consistent, however, with the view that crimes in Rwanda and the former Yugoslavia expedit</w:t>
      </w:r>
      <w:r w:rsidR="00730863" w:rsidRPr="00904D79">
        <w:rPr>
          <w:sz w:val="22"/>
          <w:szCs w:val="22"/>
        </w:rPr>
        <w:t>ed</w:t>
      </w:r>
      <w:r w:rsidR="00A77DC8" w:rsidRPr="00904D79">
        <w:rPr>
          <w:sz w:val="22"/>
          <w:szCs w:val="22"/>
        </w:rPr>
        <w:t xml:space="preserve"> the global adoption of such trials. Nevertheless, the timing and location of </w:t>
      </w:r>
      <w:r w:rsidR="00DA72D1" w:rsidRPr="00904D79">
        <w:rPr>
          <w:sz w:val="22"/>
          <w:szCs w:val="22"/>
        </w:rPr>
        <w:t xml:space="preserve">the first trials is more consistent with an account emphasizing the role of the global feminist movement. </w:t>
      </w:r>
    </w:p>
    <w:p w14:paraId="30252A34" w14:textId="1AE5B4DD" w:rsidR="003962DF" w:rsidRPr="00904D79" w:rsidRDefault="002679E9" w:rsidP="00526055">
      <w:pPr>
        <w:autoSpaceDE w:val="0"/>
        <w:autoSpaceDN w:val="0"/>
        <w:adjustRightInd w:val="0"/>
        <w:spacing w:line="480" w:lineRule="auto"/>
        <w:ind w:firstLine="720"/>
        <w:rPr>
          <w:sz w:val="22"/>
          <w:szCs w:val="22"/>
        </w:rPr>
      </w:pPr>
      <w:r w:rsidRPr="00904D79">
        <w:rPr>
          <w:sz w:val="22"/>
          <w:szCs w:val="22"/>
        </w:rPr>
        <w:t xml:space="preserve"> </w:t>
      </w:r>
      <w:r w:rsidR="00376DA8" w:rsidRPr="00904D79">
        <w:rPr>
          <w:sz w:val="22"/>
          <w:szCs w:val="22"/>
        </w:rPr>
        <w:t xml:space="preserve">Similar patterns are reflected in the emergence of gender-attentive truth commissions. The first time a </w:t>
      </w:r>
      <w:r w:rsidR="003A21AB" w:rsidRPr="00904D79">
        <w:rPr>
          <w:sz w:val="22"/>
          <w:szCs w:val="22"/>
        </w:rPr>
        <w:t>TC</w:t>
      </w:r>
      <w:r w:rsidR="00376DA8" w:rsidRPr="00904D79">
        <w:rPr>
          <w:sz w:val="22"/>
          <w:szCs w:val="22"/>
        </w:rPr>
        <w:t xml:space="preserve"> address</w:t>
      </w:r>
      <w:r w:rsidR="00BC073E" w:rsidRPr="00904D79">
        <w:rPr>
          <w:sz w:val="22"/>
          <w:szCs w:val="22"/>
        </w:rPr>
        <w:t>ed</w:t>
      </w:r>
      <w:r w:rsidR="00376DA8" w:rsidRPr="00904D79">
        <w:rPr>
          <w:sz w:val="22"/>
          <w:szCs w:val="22"/>
        </w:rPr>
        <w:t xml:space="preserve"> gender issues </w:t>
      </w:r>
      <w:r w:rsidR="00BC073E" w:rsidRPr="00904D79">
        <w:rPr>
          <w:sz w:val="22"/>
          <w:szCs w:val="22"/>
        </w:rPr>
        <w:t xml:space="preserve">was </w:t>
      </w:r>
      <w:r w:rsidR="00376DA8" w:rsidRPr="00904D79">
        <w:rPr>
          <w:sz w:val="22"/>
          <w:szCs w:val="22"/>
        </w:rPr>
        <w:t>in 1974 in Pakistan</w:t>
      </w:r>
      <w:r w:rsidR="00FE1F94">
        <w:rPr>
          <w:sz w:val="22"/>
          <w:szCs w:val="22"/>
        </w:rPr>
        <w:t xml:space="preserve">; however, </w:t>
      </w:r>
      <w:r w:rsidR="00F27595">
        <w:rPr>
          <w:sz w:val="22"/>
          <w:szCs w:val="22"/>
        </w:rPr>
        <w:t xml:space="preserve">this TC was so controversial that it was not published and only leaked </w:t>
      </w:r>
      <w:r w:rsidR="00FE1F94">
        <w:rPr>
          <w:sz w:val="22"/>
          <w:szCs w:val="22"/>
        </w:rPr>
        <w:t>years</w:t>
      </w:r>
      <w:r w:rsidR="00F27595">
        <w:rPr>
          <w:sz w:val="22"/>
          <w:szCs w:val="22"/>
        </w:rPr>
        <w:t xml:space="preserve"> later</w:t>
      </w:r>
      <w:r w:rsidR="00FE1F94">
        <w:rPr>
          <w:sz w:val="22"/>
          <w:szCs w:val="22"/>
        </w:rPr>
        <w:t>.</w:t>
      </w:r>
      <w:r w:rsidR="00376DA8" w:rsidRPr="00904D79">
        <w:rPr>
          <w:sz w:val="22"/>
          <w:szCs w:val="22"/>
        </w:rPr>
        <w:t xml:space="preserve"> </w:t>
      </w:r>
      <w:r w:rsidR="001507B9" w:rsidRPr="00904D79">
        <w:rPr>
          <w:sz w:val="22"/>
          <w:szCs w:val="22"/>
        </w:rPr>
        <w:t xml:space="preserve">Other early </w:t>
      </w:r>
      <w:r w:rsidR="00713005" w:rsidRPr="00904D79">
        <w:rPr>
          <w:sz w:val="22"/>
          <w:szCs w:val="22"/>
        </w:rPr>
        <w:t>gender</w:t>
      </w:r>
      <w:r w:rsidR="006D6DA5" w:rsidRPr="00904D79">
        <w:rPr>
          <w:sz w:val="22"/>
          <w:szCs w:val="22"/>
        </w:rPr>
        <w:t>-</w:t>
      </w:r>
      <w:r w:rsidR="00713005" w:rsidRPr="00904D79">
        <w:rPr>
          <w:sz w:val="22"/>
          <w:szCs w:val="22"/>
        </w:rPr>
        <w:t>attentive</w:t>
      </w:r>
      <w:r w:rsidR="001507B9" w:rsidRPr="00904D79">
        <w:rPr>
          <w:sz w:val="22"/>
          <w:szCs w:val="22"/>
        </w:rPr>
        <w:t xml:space="preserve"> TCs were </w:t>
      </w:r>
      <w:r w:rsidR="00BC073E" w:rsidRPr="00904D79">
        <w:rPr>
          <w:sz w:val="22"/>
          <w:szCs w:val="22"/>
        </w:rPr>
        <w:t xml:space="preserve">set up </w:t>
      </w:r>
      <w:r w:rsidR="001507B9" w:rsidRPr="00904D79">
        <w:rPr>
          <w:sz w:val="22"/>
          <w:szCs w:val="22"/>
        </w:rPr>
        <w:t>in Uganda (1986), El Salvador (1991), and South Africa (1991), all before the atrocities of Rwanda and the former Yugoslavia</w:t>
      </w:r>
      <w:r w:rsidR="003A147C" w:rsidRPr="00904D79">
        <w:rPr>
          <w:sz w:val="22"/>
          <w:szCs w:val="22"/>
        </w:rPr>
        <w:t xml:space="preserve"> and </w:t>
      </w:r>
      <w:r w:rsidR="00BC073E" w:rsidRPr="00904D79">
        <w:rPr>
          <w:sz w:val="22"/>
          <w:szCs w:val="22"/>
        </w:rPr>
        <w:t xml:space="preserve">all </w:t>
      </w:r>
      <w:r w:rsidR="003A147C" w:rsidRPr="00904D79">
        <w:rPr>
          <w:sz w:val="22"/>
          <w:szCs w:val="22"/>
        </w:rPr>
        <w:t>occurring outside Europe</w:t>
      </w:r>
      <w:r w:rsidR="001507B9" w:rsidRPr="00904D79">
        <w:rPr>
          <w:sz w:val="22"/>
          <w:szCs w:val="22"/>
        </w:rPr>
        <w:t>.</w:t>
      </w:r>
      <w:r w:rsidR="003A147C" w:rsidRPr="00904D79">
        <w:rPr>
          <w:sz w:val="22"/>
          <w:szCs w:val="22"/>
        </w:rPr>
        <w:t xml:space="preserve"> </w:t>
      </w:r>
      <w:r w:rsidR="00756B85" w:rsidRPr="00904D79">
        <w:rPr>
          <w:sz w:val="22"/>
          <w:szCs w:val="22"/>
        </w:rPr>
        <w:t xml:space="preserve">Nevertheless, </w:t>
      </w:r>
      <w:r w:rsidR="00713005" w:rsidRPr="00904D79">
        <w:rPr>
          <w:sz w:val="22"/>
          <w:szCs w:val="22"/>
        </w:rPr>
        <w:t>as shown in Figure 3, the proportion of gender-attentive TCs increases dramatically in the 1990s, and by the late 2010s</w:t>
      </w:r>
      <w:r w:rsidR="00FE1F94">
        <w:rPr>
          <w:sz w:val="22"/>
          <w:szCs w:val="22"/>
        </w:rPr>
        <w:t>,</w:t>
      </w:r>
      <w:r w:rsidR="00713005" w:rsidRPr="00904D79">
        <w:rPr>
          <w:sz w:val="22"/>
          <w:szCs w:val="22"/>
        </w:rPr>
        <w:t xml:space="preserve"> the majority of TCs are attentive to gender. </w:t>
      </w:r>
      <w:r w:rsidR="000761DF" w:rsidRPr="00904D79">
        <w:rPr>
          <w:sz w:val="22"/>
          <w:szCs w:val="22"/>
        </w:rPr>
        <w:t>This trend parallels the surge in TCs as a mechanism for transitional justice, suggesting that as the number of TCs grew so too did their incorporat</w:t>
      </w:r>
      <w:r w:rsidR="00BC073E" w:rsidRPr="00904D79">
        <w:rPr>
          <w:sz w:val="22"/>
          <w:szCs w:val="22"/>
        </w:rPr>
        <w:t>ion of</w:t>
      </w:r>
      <w:r w:rsidR="000761DF" w:rsidRPr="00904D79">
        <w:rPr>
          <w:sz w:val="22"/>
          <w:szCs w:val="22"/>
        </w:rPr>
        <w:t xml:space="preserve"> gender issues.</w:t>
      </w:r>
      <w:r w:rsidR="000761DF" w:rsidRPr="00904D79">
        <w:rPr>
          <w:rStyle w:val="FootnoteReference"/>
          <w:sz w:val="22"/>
          <w:szCs w:val="22"/>
        </w:rPr>
        <w:footnoteReference w:id="35"/>
      </w:r>
      <w:r w:rsidR="000761DF" w:rsidRPr="00904D79">
        <w:rPr>
          <w:sz w:val="22"/>
          <w:szCs w:val="22"/>
        </w:rPr>
        <w:t xml:space="preserve"> </w:t>
      </w:r>
    </w:p>
    <w:p w14:paraId="049AF961" w14:textId="77777777" w:rsidR="003A6B05" w:rsidRPr="00904D79" w:rsidRDefault="003A6B05" w:rsidP="00526055">
      <w:pPr>
        <w:spacing w:line="480" w:lineRule="auto"/>
        <w:rPr>
          <w:sz w:val="22"/>
          <w:szCs w:val="22"/>
        </w:rPr>
      </w:pPr>
    </w:p>
    <w:p w14:paraId="6B85CAAC" w14:textId="20B358C3" w:rsidR="00421CAF" w:rsidRPr="00904D79" w:rsidRDefault="00713005" w:rsidP="00526055">
      <w:pPr>
        <w:spacing w:line="480" w:lineRule="auto"/>
        <w:jc w:val="center"/>
        <w:rPr>
          <w:sz w:val="22"/>
          <w:szCs w:val="22"/>
        </w:rPr>
      </w:pPr>
      <w:r w:rsidRPr="00904D79">
        <w:rPr>
          <w:noProof/>
          <w:sz w:val="22"/>
          <w:szCs w:val="22"/>
        </w:rPr>
        <w:drawing>
          <wp:inline distT="0" distB="0" distL="0" distR="0" wp14:anchorId="1B60E6F1" wp14:editId="6BAD598A">
            <wp:extent cx="4736880" cy="2707005"/>
            <wp:effectExtent l="0" t="0" r="635" b="0"/>
            <wp:docPr id="1332777536" name="Picture 1332777536" descr="A graph showing the gender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777536" name="Picture 3" descr="A graph showing the gender of a person&#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3248" cy="2716359"/>
                    </a:xfrm>
                    <a:prstGeom prst="rect">
                      <a:avLst/>
                    </a:prstGeom>
                  </pic:spPr>
                </pic:pic>
              </a:graphicData>
            </a:graphic>
          </wp:inline>
        </w:drawing>
      </w:r>
    </w:p>
    <w:p w14:paraId="31C2417D" w14:textId="2226F9F9" w:rsidR="00713005" w:rsidRPr="00904D79" w:rsidRDefault="00713005" w:rsidP="00526055">
      <w:pPr>
        <w:rPr>
          <w:sz w:val="22"/>
          <w:szCs w:val="22"/>
        </w:rPr>
      </w:pPr>
      <w:r w:rsidRPr="00904D79">
        <w:rPr>
          <w:b/>
          <w:bCs/>
          <w:sz w:val="22"/>
          <w:szCs w:val="22"/>
        </w:rPr>
        <w:t>Figure 3</w:t>
      </w:r>
      <w:r w:rsidRPr="00904D79">
        <w:rPr>
          <w:sz w:val="22"/>
          <w:szCs w:val="22"/>
        </w:rPr>
        <w:t xml:space="preserve">. </w:t>
      </w:r>
      <w:r w:rsidRPr="00904D79">
        <w:rPr>
          <w:i/>
          <w:iCs/>
          <w:sz w:val="22"/>
          <w:szCs w:val="22"/>
        </w:rPr>
        <w:t>Emergence of Gender-Attentive Truth Commissions, 1970-20</w:t>
      </w:r>
      <w:r w:rsidR="00291392">
        <w:rPr>
          <w:i/>
          <w:iCs/>
          <w:sz w:val="22"/>
          <w:szCs w:val="22"/>
        </w:rPr>
        <w:t>2</w:t>
      </w:r>
      <w:r w:rsidRPr="00904D79">
        <w:rPr>
          <w:i/>
          <w:iCs/>
          <w:sz w:val="22"/>
          <w:szCs w:val="22"/>
        </w:rPr>
        <w:t>0</w:t>
      </w:r>
      <w:r w:rsidRPr="00904D79">
        <w:rPr>
          <w:sz w:val="22"/>
          <w:szCs w:val="22"/>
        </w:rPr>
        <w:t>. Dark grey area is total number of gender</w:t>
      </w:r>
      <w:r w:rsidR="00DF69BA" w:rsidRPr="00904D79">
        <w:rPr>
          <w:sz w:val="22"/>
          <w:szCs w:val="22"/>
        </w:rPr>
        <w:t>-</w:t>
      </w:r>
      <w:r w:rsidRPr="00904D79">
        <w:rPr>
          <w:sz w:val="22"/>
          <w:szCs w:val="22"/>
        </w:rPr>
        <w:t xml:space="preserve">attentive truth commissions active each year. Light gray area is total number of truth commissions </w:t>
      </w:r>
      <w:r w:rsidR="00953B2E" w:rsidRPr="00904D79">
        <w:rPr>
          <w:sz w:val="22"/>
          <w:szCs w:val="22"/>
        </w:rPr>
        <w:t xml:space="preserve">without attention to gender </w:t>
      </w:r>
      <w:r w:rsidRPr="00904D79">
        <w:rPr>
          <w:sz w:val="22"/>
          <w:szCs w:val="22"/>
        </w:rPr>
        <w:t xml:space="preserve">active each year. Areas are stacked such that the uppermost line each year represents the total number of active truth commissions. </w:t>
      </w:r>
    </w:p>
    <w:p w14:paraId="50D36455" w14:textId="77777777" w:rsidR="00526055" w:rsidRPr="00904D79" w:rsidRDefault="00526055" w:rsidP="00526055">
      <w:pPr>
        <w:rPr>
          <w:sz w:val="22"/>
          <w:szCs w:val="22"/>
        </w:rPr>
      </w:pPr>
    </w:p>
    <w:p w14:paraId="724A0212" w14:textId="77777777" w:rsidR="004613B3" w:rsidRPr="00904D79" w:rsidRDefault="004613B3" w:rsidP="00526055">
      <w:pPr>
        <w:rPr>
          <w:sz w:val="22"/>
          <w:szCs w:val="22"/>
        </w:rPr>
      </w:pPr>
    </w:p>
    <w:p w14:paraId="021BCF65" w14:textId="75348F3F" w:rsidR="00FE1F94" w:rsidRDefault="008A7589" w:rsidP="00E42F2E">
      <w:pPr>
        <w:autoSpaceDE w:val="0"/>
        <w:autoSpaceDN w:val="0"/>
        <w:adjustRightInd w:val="0"/>
        <w:spacing w:line="480" w:lineRule="auto"/>
        <w:ind w:firstLine="720"/>
        <w:rPr>
          <w:sz w:val="22"/>
          <w:szCs w:val="22"/>
        </w:rPr>
      </w:pPr>
      <w:r>
        <w:rPr>
          <w:sz w:val="22"/>
          <w:szCs w:val="22"/>
        </w:rPr>
        <w:t xml:space="preserve">As shown in Figure 4, </w:t>
      </w:r>
      <w:r w:rsidR="00017B84">
        <w:rPr>
          <w:sz w:val="22"/>
          <w:szCs w:val="22"/>
        </w:rPr>
        <w:t>r</w:t>
      </w:r>
      <w:r w:rsidR="006234B0" w:rsidRPr="00904D79">
        <w:rPr>
          <w:sz w:val="22"/>
          <w:szCs w:val="22"/>
        </w:rPr>
        <w:t xml:space="preserve">eparations policies became gender-attentive much later than either trials or truth commissions. </w:t>
      </w:r>
      <w:r w:rsidR="0049316A" w:rsidRPr="00904D79">
        <w:rPr>
          <w:sz w:val="22"/>
          <w:szCs w:val="22"/>
        </w:rPr>
        <w:t>Although</w:t>
      </w:r>
      <w:r w:rsidR="0049681C" w:rsidRPr="00904D79">
        <w:rPr>
          <w:sz w:val="22"/>
          <w:szCs w:val="22"/>
        </w:rPr>
        <w:t xml:space="preserve"> the first </w:t>
      </w:r>
      <w:r w:rsidR="00DF4C80">
        <w:rPr>
          <w:sz w:val="22"/>
          <w:szCs w:val="22"/>
        </w:rPr>
        <w:t>tra</w:t>
      </w:r>
      <w:r w:rsidR="00360EC3">
        <w:rPr>
          <w:sz w:val="22"/>
          <w:szCs w:val="22"/>
        </w:rPr>
        <w:t xml:space="preserve">nsitional </w:t>
      </w:r>
      <w:r w:rsidR="0049681C" w:rsidRPr="00904D79">
        <w:rPr>
          <w:sz w:val="22"/>
          <w:szCs w:val="22"/>
        </w:rPr>
        <w:t xml:space="preserve">reparations policy was adopted </w:t>
      </w:r>
      <w:r w:rsidR="004D49FD" w:rsidRPr="00904D79">
        <w:rPr>
          <w:sz w:val="22"/>
          <w:szCs w:val="22"/>
        </w:rPr>
        <w:t>by</w:t>
      </w:r>
      <w:r w:rsidR="0049681C" w:rsidRPr="00904D79">
        <w:rPr>
          <w:sz w:val="22"/>
          <w:szCs w:val="22"/>
        </w:rPr>
        <w:t xml:space="preserve"> Portugal in 1977, t</w:t>
      </w:r>
      <w:r w:rsidR="002E4ACA" w:rsidRPr="00904D79">
        <w:rPr>
          <w:sz w:val="22"/>
          <w:szCs w:val="22"/>
        </w:rPr>
        <w:t xml:space="preserve">he first gender-attentive reparations policy </w:t>
      </w:r>
      <w:r w:rsidR="00EB1F4A" w:rsidRPr="00904D79">
        <w:rPr>
          <w:sz w:val="22"/>
          <w:szCs w:val="22"/>
        </w:rPr>
        <w:t xml:space="preserve">did not occur </w:t>
      </w:r>
      <w:r w:rsidR="0049681C" w:rsidRPr="00904D79">
        <w:rPr>
          <w:sz w:val="22"/>
          <w:szCs w:val="22"/>
        </w:rPr>
        <w:t>until 1998</w:t>
      </w:r>
      <w:r w:rsidR="005A6914">
        <w:rPr>
          <w:sz w:val="22"/>
          <w:szCs w:val="22"/>
        </w:rPr>
        <w:t>,</w:t>
      </w:r>
      <w:r w:rsidR="0049681C" w:rsidRPr="00904D79">
        <w:rPr>
          <w:sz w:val="22"/>
          <w:szCs w:val="22"/>
        </w:rPr>
        <w:t xml:space="preserve"> </w:t>
      </w:r>
      <w:r w:rsidR="00EB1F4A" w:rsidRPr="00904D79">
        <w:rPr>
          <w:sz w:val="22"/>
          <w:szCs w:val="22"/>
        </w:rPr>
        <w:t>when</w:t>
      </w:r>
      <w:r w:rsidR="002E4ACA" w:rsidRPr="00904D79">
        <w:rPr>
          <w:sz w:val="22"/>
          <w:szCs w:val="22"/>
        </w:rPr>
        <w:t xml:space="preserve"> </w:t>
      </w:r>
      <w:r w:rsidR="00DF4688" w:rsidRPr="00904D79">
        <w:rPr>
          <w:sz w:val="22"/>
          <w:szCs w:val="22"/>
        </w:rPr>
        <w:t xml:space="preserve">South Africa’s Truth and Reconciliation Commission </w:t>
      </w:r>
      <w:r w:rsidR="00EB1F4A" w:rsidRPr="00904D79">
        <w:rPr>
          <w:sz w:val="22"/>
          <w:szCs w:val="22"/>
        </w:rPr>
        <w:t xml:space="preserve">created a policy </w:t>
      </w:r>
      <w:r w:rsidR="0023198E" w:rsidRPr="00904D79">
        <w:rPr>
          <w:sz w:val="22"/>
          <w:szCs w:val="22"/>
        </w:rPr>
        <w:t>to</w:t>
      </w:r>
      <w:r w:rsidR="00EB1F4A" w:rsidRPr="00904D79">
        <w:rPr>
          <w:sz w:val="22"/>
          <w:szCs w:val="22"/>
        </w:rPr>
        <w:t xml:space="preserve"> </w:t>
      </w:r>
      <w:r w:rsidR="00DF4688" w:rsidRPr="00904D79">
        <w:rPr>
          <w:sz w:val="22"/>
          <w:szCs w:val="22"/>
        </w:rPr>
        <w:t>compensate victims of rape and sexual assault.</w:t>
      </w:r>
      <w:r w:rsidR="00EB1F4A" w:rsidRPr="00904D79">
        <w:rPr>
          <w:rStyle w:val="FootnoteReference"/>
          <w:sz w:val="22"/>
          <w:szCs w:val="22"/>
        </w:rPr>
        <w:footnoteReference w:id="36"/>
      </w:r>
      <w:r w:rsidR="00EB1F4A" w:rsidRPr="00904D79">
        <w:rPr>
          <w:sz w:val="22"/>
          <w:szCs w:val="22"/>
        </w:rPr>
        <w:t xml:space="preserve"> </w:t>
      </w:r>
      <w:r w:rsidR="002524F1" w:rsidRPr="00904D79">
        <w:rPr>
          <w:sz w:val="22"/>
          <w:szCs w:val="22"/>
        </w:rPr>
        <w:t xml:space="preserve">At first glance, this </w:t>
      </w:r>
      <w:r w:rsidR="00C21007" w:rsidRPr="00904D79">
        <w:rPr>
          <w:sz w:val="22"/>
          <w:szCs w:val="22"/>
        </w:rPr>
        <w:t xml:space="preserve">belated </w:t>
      </w:r>
      <w:r w:rsidR="00A73CE7" w:rsidRPr="00904D79">
        <w:rPr>
          <w:sz w:val="22"/>
          <w:szCs w:val="22"/>
        </w:rPr>
        <w:t>attention to gender</w:t>
      </w:r>
      <w:r w:rsidR="00C21007" w:rsidRPr="00904D79">
        <w:rPr>
          <w:sz w:val="22"/>
          <w:szCs w:val="22"/>
        </w:rPr>
        <w:t xml:space="preserve"> </w:t>
      </w:r>
      <w:r w:rsidR="002524F1" w:rsidRPr="00904D79">
        <w:rPr>
          <w:sz w:val="22"/>
          <w:szCs w:val="22"/>
        </w:rPr>
        <w:t xml:space="preserve">appears consistent with both the critical perspective that </w:t>
      </w:r>
      <w:r w:rsidR="00916594" w:rsidRPr="00904D79">
        <w:rPr>
          <w:sz w:val="22"/>
          <w:szCs w:val="22"/>
        </w:rPr>
        <w:t xml:space="preserve">gender is typically absent from TJ policies and the view that gender-attentive policies only emerged in the aftermath of atrocities in Rwanda and the former Yugoslavia. </w:t>
      </w:r>
      <w:r w:rsidR="00CA0540" w:rsidRPr="00904D79">
        <w:rPr>
          <w:sz w:val="22"/>
          <w:szCs w:val="22"/>
        </w:rPr>
        <w:t xml:space="preserve">However, the </w:t>
      </w:r>
      <w:r w:rsidR="00080E41" w:rsidRPr="00904D79">
        <w:rPr>
          <w:sz w:val="22"/>
          <w:szCs w:val="22"/>
        </w:rPr>
        <w:t>way</w:t>
      </w:r>
      <w:r w:rsidR="00CA0540" w:rsidRPr="00904D79">
        <w:rPr>
          <w:sz w:val="22"/>
          <w:szCs w:val="22"/>
        </w:rPr>
        <w:t xml:space="preserve"> gender-attentive reparations have diffused suggests bottom-up processes more consistent with advocacy and policy learning. </w:t>
      </w:r>
    </w:p>
    <w:p w14:paraId="5EE3B41E" w14:textId="77777777" w:rsidR="008A7589" w:rsidRDefault="008A7589" w:rsidP="00E42F2E">
      <w:pPr>
        <w:autoSpaceDE w:val="0"/>
        <w:autoSpaceDN w:val="0"/>
        <w:adjustRightInd w:val="0"/>
        <w:spacing w:line="480" w:lineRule="auto"/>
        <w:ind w:firstLine="720"/>
        <w:rPr>
          <w:sz w:val="22"/>
          <w:szCs w:val="22"/>
        </w:rPr>
      </w:pPr>
    </w:p>
    <w:p w14:paraId="54627505" w14:textId="1182C13D" w:rsidR="00CD1B1C" w:rsidRDefault="00CD1B1C" w:rsidP="00CD1B1C">
      <w:pPr>
        <w:jc w:val="center"/>
        <w:rPr>
          <w:b/>
          <w:bCs/>
          <w:sz w:val="22"/>
          <w:szCs w:val="22"/>
        </w:rPr>
      </w:pPr>
      <w:r>
        <w:rPr>
          <w:b/>
          <w:bCs/>
          <w:noProof/>
          <w:sz w:val="22"/>
          <w:szCs w:val="22"/>
        </w:rPr>
        <w:drawing>
          <wp:inline distT="0" distB="0" distL="0" distR="0" wp14:anchorId="603BF3F6" wp14:editId="3D616BC2">
            <wp:extent cx="4785360" cy="2734711"/>
            <wp:effectExtent l="0" t="0" r="2540" b="0"/>
            <wp:docPr id="20567230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23073" name="Picture 205672307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13563" cy="2750828"/>
                    </a:xfrm>
                    <a:prstGeom prst="rect">
                      <a:avLst/>
                    </a:prstGeom>
                  </pic:spPr>
                </pic:pic>
              </a:graphicData>
            </a:graphic>
          </wp:inline>
        </w:drawing>
      </w:r>
    </w:p>
    <w:p w14:paraId="32B49719" w14:textId="77777777" w:rsidR="00CD1B1C" w:rsidRDefault="00CD1B1C" w:rsidP="008A7589">
      <w:pPr>
        <w:rPr>
          <w:b/>
          <w:bCs/>
          <w:sz w:val="22"/>
          <w:szCs w:val="22"/>
        </w:rPr>
      </w:pPr>
    </w:p>
    <w:p w14:paraId="6E052DD8" w14:textId="6030297D" w:rsidR="008A7589" w:rsidRPr="00904D79" w:rsidRDefault="008A7589" w:rsidP="008A7589">
      <w:pPr>
        <w:rPr>
          <w:sz w:val="22"/>
          <w:szCs w:val="22"/>
        </w:rPr>
      </w:pPr>
      <w:r w:rsidRPr="00904D79">
        <w:rPr>
          <w:b/>
          <w:bCs/>
          <w:sz w:val="22"/>
          <w:szCs w:val="22"/>
        </w:rPr>
        <w:t xml:space="preserve">Figure </w:t>
      </w:r>
      <w:r>
        <w:rPr>
          <w:b/>
          <w:bCs/>
          <w:sz w:val="22"/>
          <w:szCs w:val="22"/>
        </w:rPr>
        <w:t>4</w:t>
      </w:r>
      <w:r w:rsidRPr="00904D79">
        <w:rPr>
          <w:sz w:val="22"/>
          <w:szCs w:val="22"/>
        </w:rPr>
        <w:t xml:space="preserve">. </w:t>
      </w:r>
      <w:r w:rsidRPr="00904D79">
        <w:rPr>
          <w:i/>
          <w:iCs/>
          <w:sz w:val="22"/>
          <w:szCs w:val="22"/>
        </w:rPr>
        <w:t xml:space="preserve">Emergence of Gender-Attentive </w:t>
      </w:r>
      <w:r>
        <w:rPr>
          <w:i/>
          <w:iCs/>
          <w:sz w:val="22"/>
          <w:szCs w:val="22"/>
        </w:rPr>
        <w:t>Reparations Policies</w:t>
      </w:r>
      <w:r w:rsidRPr="00904D79">
        <w:rPr>
          <w:i/>
          <w:iCs/>
          <w:sz w:val="22"/>
          <w:szCs w:val="22"/>
        </w:rPr>
        <w:t>, 1970-20</w:t>
      </w:r>
      <w:r>
        <w:rPr>
          <w:i/>
          <w:iCs/>
          <w:sz w:val="22"/>
          <w:szCs w:val="22"/>
        </w:rPr>
        <w:t>2</w:t>
      </w:r>
      <w:r w:rsidRPr="00904D79">
        <w:rPr>
          <w:i/>
          <w:iCs/>
          <w:sz w:val="22"/>
          <w:szCs w:val="22"/>
        </w:rPr>
        <w:t>0</w:t>
      </w:r>
      <w:r w:rsidRPr="00904D79">
        <w:rPr>
          <w:sz w:val="22"/>
          <w:szCs w:val="22"/>
        </w:rPr>
        <w:t xml:space="preserve">. Dark grey </w:t>
      </w:r>
      <w:r w:rsidR="000129CC">
        <w:rPr>
          <w:sz w:val="22"/>
          <w:szCs w:val="22"/>
        </w:rPr>
        <w:t>bars are</w:t>
      </w:r>
      <w:r w:rsidRPr="00904D79">
        <w:rPr>
          <w:sz w:val="22"/>
          <w:szCs w:val="22"/>
        </w:rPr>
        <w:t xml:space="preserve"> total number of gender-attentive </w:t>
      </w:r>
      <w:r w:rsidR="000129CC">
        <w:rPr>
          <w:sz w:val="22"/>
          <w:szCs w:val="22"/>
        </w:rPr>
        <w:t xml:space="preserve">reparations policies begun </w:t>
      </w:r>
      <w:r w:rsidRPr="00904D79">
        <w:rPr>
          <w:sz w:val="22"/>
          <w:szCs w:val="22"/>
        </w:rPr>
        <w:t xml:space="preserve">each year. Light gray </w:t>
      </w:r>
      <w:r w:rsidR="000129CC">
        <w:rPr>
          <w:sz w:val="22"/>
          <w:szCs w:val="22"/>
        </w:rPr>
        <w:t>bars are</w:t>
      </w:r>
      <w:r w:rsidRPr="00904D79">
        <w:rPr>
          <w:sz w:val="22"/>
          <w:szCs w:val="22"/>
        </w:rPr>
        <w:t xml:space="preserve"> total number of </w:t>
      </w:r>
      <w:r w:rsidR="000129CC">
        <w:rPr>
          <w:sz w:val="22"/>
          <w:szCs w:val="22"/>
        </w:rPr>
        <w:t>gender-inattentive reparations policies begun each year. Bars</w:t>
      </w:r>
      <w:r w:rsidRPr="00904D79">
        <w:rPr>
          <w:sz w:val="22"/>
          <w:szCs w:val="22"/>
        </w:rPr>
        <w:t xml:space="preserve"> are stacked such that the uppermost line each year represents the total number of </w:t>
      </w:r>
      <w:r w:rsidR="000129CC">
        <w:rPr>
          <w:sz w:val="22"/>
          <w:szCs w:val="22"/>
        </w:rPr>
        <w:t>new reparations policies per year</w:t>
      </w:r>
      <w:r w:rsidRPr="00904D79">
        <w:rPr>
          <w:sz w:val="22"/>
          <w:szCs w:val="22"/>
        </w:rPr>
        <w:t xml:space="preserve">. </w:t>
      </w:r>
    </w:p>
    <w:p w14:paraId="6B9FD6ED" w14:textId="77777777" w:rsidR="008A7589" w:rsidRDefault="008A7589" w:rsidP="00E42F2E">
      <w:pPr>
        <w:autoSpaceDE w:val="0"/>
        <w:autoSpaceDN w:val="0"/>
        <w:adjustRightInd w:val="0"/>
        <w:spacing w:line="480" w:lineRule="auto"/>
        <w:ind w:firstLine="720"/>
        <w:rPr>
          <w:sz w:val="22"/>
          <w:szCs w:val="22"/>
        </w:rPr>
      </w:pPr>
    </w:p>
    <w:p w14:paraId="35073A88" w14:textId="19D40F6F" w:rsidR="00FE1F94" w:rsidRPr="00904D79" w:rsidRDefault="00E42F2E" w:rsidP="00E42F2E">
      <w:pPr>
        <w:spacing w:line="480" w:lineRule="auto"/>
        <w:ind w:firstLine="720"/>
        <w:rPr>
          <w:sz w:val="22"/>
          <w:szCs w:val="22"/>
        </w:rPr>
      </w:pPr>
      <w:r>
        <w:rPr>
          <w:sz w:val="22"/>
          <w:szCs w:val="22"/>
        </w:rPr>
        <w:t>The genesis of attention to gender in South Africa</w:t>
      </w:r>
      <w:r w:rsidR="008A7589">
        <w:rPr>
          <w:sz w:val="22"/>
          <w:szCs w:val="22"/>
        </w:rPr>
        <w:t>’s</w:t>
      </w:r>
      <w:r>
        <w:rPr>
          <w:sz w:val="22"/>
          <w:szCs w:val="22"/>
        </w:rPr>
        <w:t xml:space="preserve"> TRC policy illustrates these processes. </w:t>
      </w:r>
      <w:r w:rsidR="00FE1F94" w:rsidRPr="00C06FEF">
        <w:rPr>
          <w:sz w:val="22"/>
          <w:szCs w:val="22"/>
        </w:rPr>
        <w:t>A chapter in the TRC final report entitled “Special Hearing: Women” discussed how the TRC’s focus on gender came about. It credits a workshop held in March 1996 by the Centre for Applied Legal Studies (CALS) at the University of the Witwatersrand called “Gender and the Truth and Reconciliation Commission.” The workshop led to a detailed submission to the TRC by two of its participants, Dr Beth Goldblatt and Dr Sheila Meintjes, which argued for the TRC to take a gendered approach</w:t>
      </w:r>
      <w:r w:rsidR="00360EC3">
        <w:rPr>
          <w:sz w:val="22"/>
          <w:szCs w:val="22"/>
        </w:rPr>
        <w:t>.</w:t>
      </w:r>
      <w:r w:rsidR="00FE1F94" w:rsidRPr="00C06FEF">
        <w:rPr>
          <w:rStyle w:val="FootnoteReference"/>
          <w:sz w:val="22"/>
          <w:szCs w:val="22"/>
        </w:rPr>
        <w:footnoteReference w:id="37"/>
      </w:r>
      <w:r w:rsidR="00FE1F94" w:rsidRPr="00C06FEF">
        <w:rPr>
          <w:sz w:val="22"/>
          <w:szCs w:val="22"/>
        </w:rPr>
        <w:t xml:space="preserve"> In their references for this submission, Goldblatt and Meintjes cite a Beijing Conference Report submission, the “1994 Country Report on the Status of South African Women.” This citation shows that the authors were influenced by the increasing global attention to gender in the first half of the 1990s, with the 1995 Beijing Platform for Action serving as an important focal point of global activism on women’s and gender issues. </w:t>
      </w:r>
      <w:r w:rsidR="00FE1F94">
        <w:rPr>
          <w:sz w:val="22"/>
          <w:szCs w:val="22"/>
        </w:rPr>
        <w:t xml:space="preserve"> </w:t>
      </w:r>
      <w:r w:rsidR="00FE1F94" w:rsidRPr="00C06FEF">
        <w:rPr>
          <w:sz w:val="22"/>
          <w:szCs w:val="22"/>
        </w:rPr>
        <w:t xml:space="preserve">The influence the authors in turn had on the approach of the South African TRC and its reparations policy </w:t>
      </w:r>
      <w:r w:rsidR="00FE1F94" w:rsidRPr="00C06FEF">
        <w:rPr>
          <w:sz w:val="22"/>
          <w:szCs w:val="22"/>
        </w:rPr>
        <w:lastRenderedPageBreak/>
        <w:t>supports our argument that the push for attention to gender in transitional justice came from the bottom up, not just the top down.</w:t>
      </w:r>
      <w:r w:rsidR="00FE1F94">
        <w:rPr>
          <w:rStyle w:val="FootnoteReference"/>
          <w:sz w:val="22"/>
          <w:szCs w:val="22"/>
        </w:rPr>
        <w:footnoteReference w:id="38"/>
      </w:r>
    </w:p>
    <w:p w14:paraId="7B6B9639" w14:textId="19153D40" w:rsidR="00E22358" w:rsidRPr="00904D79" w:rsidRDefault="00E42F2E" w:rsidP="00526055">
      <w:pPr>
        <w:spacing w:line="480" w:lineRule="auto"/>
        <w:ind w:firstLine="720"/>
        <w:rPr>
          <w:sz w:val="22"/>
          <w:szCs w:val="22"/>
        </w:rPr>
      </w:pPr>
      <w:r w:rsidRPr="00C06FEF">
        <w:rPr>
          <w:sz w:val="22"/>
          <w:szCs w:val="22"/>
        </w:rPr>
        <w:t>South Africa</w:t>
      </w:r>
      <w:r>
        <w:rPr>
          <w:sz w:val="22"/>
          <w:szCs w:val="22"/>
        </w:rPr>
        <w:t>’s</w:t>
      </w:r>
      <w:r w:rsidRPr="00C06FEF">
        <w:rPr>
          <w:sz w:val="22"/>
          <w:szCs w:val="22"/>
        </w:rPr>
        <w:t xml:space="preserve"> TRC </w:t>
      </w:r>
      <w:r w:rsidR="0077640F" w:rsidRPr="00904D79">
        <w:rPr>
          <w:sz w:val="22"/>
          <w:szCs w:val="22"/>
        </w:rPr>
        <w:t>policy also marked a broader shift in global practices.</w:t>
      </w:r>
      <w:r w:rsidR="000D020F" w:rsidRPr="00904D79">
        <w:rPr>
          <w:sz w:val="22"/>
          <w:szCs w:val="22"/>
        </w:rPr>
        <w:t xml:space="preserve"> Nineteen other states had created reparations policies before South Africa</w:t>
      </w:r>
      <w:r w:rsidR="004C0644" w:rsidRPr="00904D79">
        <w:rPr>
          <w:sz w:val="22"/>
          <w:szCs w:val="22"/>
        </w:rPr>
        <w:t xml:space="preserve">, and </w:t>
      </w:r>
      <w:r w:rsidR="000D020F" w:rsidRPr="00904D79">
        <w:rPr>
          <w:sz w:val="22"/>
          <w:szCs w:val="22"/>
        </w:rPr>
        <w:t xml:space="preserve">none paid attention to gender; </w:t>
      </w:r>
      <w:r w:rsidR="004C0644" w:rsidRPr="00904D79">
        <w:rPr>
          <w:sz w:val="22"/>
          <w:szCs w:val="22"/>
        </w:rPr>
        <w:t xml:space="preserve">however, </w:t>
      </w:r>
      <w:r w:rsidR="000D020F" w:rsidRPr="00904D79">
        <w:rPr>
          <w:sz w:val="22"/>
          <w:szCs w:val="22"/>
        </w:rPr>
        <w:t xml:space="preserve">20 </w:t>
      </w:r>
      <w:r w:rsidR="00E4669A" w:rsidRPr="00904D79">
        <w:rPr>
          <w:sz w:val="22"/>
          <w:szCs w:val="22"/>
        </w:rPr>
        <w:t xml:space="preserve">(42.6%) </w:t>
      </w:r>
      <w:r w:rsidR="000D020F" w:rsidRPr="00904D79">
        <w:rPr>
          <w:sz w:val="22"/>
          <w:szCs w:val="22"/>
        </w:rPr>
        <w:t>of 47 reparations policies adopted between 1999 and 2020</w:t>
      </w:r>
      <w:r w:rsidR="004C0644" w:rsidRPr="00904D79">
        <w:rPr>
          <w:sz w:val="22"/>
          <w:szCs w:val="22"/>
        </w:rPr>
        <w:t xml:space="preserve"> did pay attention to gender. </w:t>
      </w:r>
      <w:r w:rsidR="000C2B5D" w:rsidRPr="00904D79">
        <w:rPr>
          <w:sz w:val="22"/>
          <w:szCs w:val="22"/>
        </w:rPr>
        <w:t>South Africa’s policy served as a model for other African states.</w:t>
      </w:r>
      <w:r w:rsidR="000D020F" w:rsidRPr="00904D79">
        <w:rPr>
          <w:sz w:val="22"/>
          <w:szCs w:val="22"/>
        </w:rPr>
        <w:t xml:space="preserve"> </w:t>
      </w:r>
      <w:r w:rsidR="00080E41" w:rsidRPr="00904D79">
        <w:rPr>
          <w:sz w:val="22"/>
          <w:szCs w:val="22"/>
        </w:rPr>
        <w:t>Ghana, Morocco, and Sierra Leone all published TC final reports containing reparations policies in 2004, the year after South Africa passed its reparations policy into law. Like South Africa, t</w:t>
      </w:r>
      <w:r w:rsidR="001D59FE" w:rsidRPr="00904D79">
        <w:rPr>
          <w:sz w:val="22"/>
          <w:szCs w:val="22"/>
        </w:rPr>
        <w:t>hese</w:t>
      </w:r>
      <w:r w:rsidR="00080E41" w:rsidRPr="00904D79">
        <w:rPr>
          <w:sz w:val="22"/>
          <w:szCs w:val="22"/>
        </w:rPr>
        <w:t xml:space="preserve"> </w:t>
      </w:r>
      <w:r w:rsidR="000C2B5D" w:rsidRPr="00904D79">
        <w:rPr>
          <w:sz w:val="22"/>
          <w:szCs w:val="22"/>
        </w:rPr>
        <w:t xml:space="preserve">states </w:t>
      </w:r>
      <w:r w:rsidR="001962CD" w:rsidRPr="00904D79">
        <w:rPr>
          <w:sz w:val="22"/>
          <w:szCs w:val="22"/>
        </w:rPr>
        <w:t>adopted</w:t>
      </w:r>
      <w:r w:rsidR="00080E41" w:rsidRPr="00904D79">
        <w:rPr>
          <w:sz w:val="22"/>
          <w:szCs w:val="22"/>
        </w:rPr>
        <w:t xml:space="preserve"> gender</w:t>
      </w:r>
      <w:r w:rsidR="007D2BD2" w:rsidRPr="00904D79">
        <w:rPr>
          <w:sz w:val="22"/>
          <w:szCs w:val="22"/>
        </w:rPr>
        <w:t>-</w:t>
      </w:r>
      <w:r w:rsidR="00080E41" w:rsidRPr="00904D79">
        <w:rPr>
          <w:sz w:val="22"/>
          <w:szCs w:val="22"/>
        </w:rPr>
        <w:t xml:space="preserve">attentive reparations policies. Kenya, Cote d’Ivoire, Tunisia, </w:t>
      </w:r>
      <w:r w:rsidR="007D2BD2" w:rsidRPr="00904D79">
        <w:rPr>
          <w:sz w:val="22"/>
          <w:szCs w:val="22"/>
        </w:rPr>
        <w:t xml:space="preserve">The </w:t>
      </w:r>
      <w:r w:rsidR="00080E41" w:rsidRPr="00904D79">
        <w:rPr>
          <w:sz w:val="22"/>
          <w:szCs w:val="22"/>
        </w:rPr>
        <w:t>Gambia, and Mali followed a similar model of a TC-based reparations policy over the next 18 years</w:t>
      </w:r>
      <w:r w:rsidR="00C3589A" w:rsidRPr="00904D79">
        <w:rPr>
          <w:sz w:val="22"/>
          <w:szCs w:val="22"/>
        </w:rPr>
        <w:t>;</w:t>
      </w:r>
      <w:r w:rsidR="00080E41" w:rsidRPr="00904D79">
        <w:rPr>
          <w:sz w:val="22"/>
          <w:szCs w:val="22"/>
        </w:rPr>
        <w:t xml:space="preserve"> </w:t>
      </w:r>
      <w:r w:rsidR="00C3589A" w:rsidRPr="00904D79">
        <w:rPr>
          <w:sz w:val="22"/>
          <w:szCs w:val="22"/>
        </w:rPr>
        <w:t>a</w:t>
      </w:r>
      <w:r w:rsidR="00080E41" w:rsidRPr="00904D79">
        <w:rPr>
          <w:sz w:val="22"/>
          <w:szCs w:val="22"/>
        </w:rPr>
        <w:t>ll but Cote d’Ivoire’s were gender</w:t>
      </w:r>
      <w:r w:rsidR="00267012" w:rsidRPr="00904D79">
        <w:rPr>
          <w:sz w:val="22"/>
          <w:szCs w:val="22"/>
        </w:rPr>
        <w:t>-</w:t>
      </w:r>
      <w:r w:rsidR="00080E41" w:rsidRPr="00904D79">
        <w:rPr>
          <w:sz w:val="22"/>
          <w:szCs w:val="22"/>
        </w:rPr>
        <w:t xml:space="preserve">attentive. </w:t>
      </w:r>
      <w:r w:rsidR="00267012" w:rsidRPr="00904D79">
        <w:rPr>
          <w:sz w:val="22"/>
          <w:szCs w:val="22"/>
        </w:rPr>
        <w:t>S</w:t>
      </w:r>
      <w:r w:rsidR="00080E41" w:rsidRPr="00904D79">
        <w:rPr>
          <w:sz w:val="22"/>
          <w:szCs w:val="22"/>
        </w:rPr>
        <w:t>everal TC reports cite other TCs as comparative examples and inspiration</w:t>
      </w:r>
      <w:r w:rsidR="00267012" w:rsidRPr="00904D79">
        <w:rPr>
          <w:sz w:val="22"/>
          <w:szCs w:val="22"/>
        </w:rPr>
        <w:t>, suggesting a process of regional diffusion.</w:t>
      </w:r>
      <w:r w:rsidR="00080E41" w:rsidRPr="00904D79">
        <w:rPr>
          <w:rStyle w:val="FootnoteReference"/>
          <w:sz w:val="22"/>
          <w:szCs w:val="22"/>
        </w:rPr>
        <w:footnoteReference w:id="39"/>
      </w:r>
      <w:r w:rsidR="00080E41" w:rsidRPr="00904D79">
        <w:rPr>
          <w:sz w:val="22"/>
          <w:szCs w:val="22"/>
        </w:rPr>
        <w:t xml:space="preserve"> </w:t>
      </w:r>
      <w:r w:rsidR="00267012" w:rsidRPr="00904D79">
        <w:rPr>
          <w:sz w:val="22"/>
          <w:szCs w:val="22"/>
        </w:rPr>
        <w:t xml:space="preserve">This </w:t>
      </w:r>
      <w:r w:rsidR="00661D92" w:rsidRPr="00904D79">
        <w:rPr>
          <w:sz w:val="22"/>
          <w:szCs w:val="22"/>
        </w:rPr>
        <w:t>bottom-up process of regional diffusion is at odds with the perspective that gender</w:t>
      </w:r>
      <w:r w:rsidR="0051358A">
        <w:rPr>
          <w:sz w:val="22"/>
          <w:szCs w:val="22"/>
        </w:rPr>
        <w:t>-attentive policies are</w:t>
      </w:r>
      <w:r w:rsidR="00661D92" w:rsidRPr="00904D79">
        <w:rPr>
          <w:sz w:val="22"/>
          <w:szCs w:val="22"/>
        </w:rPr>
        <w:t xml:space="preserve"> disseminated from other parts of the world. </w:t>
      </w:r>
    </w:p>
    <w:p w14:paraId="3E7925BC" w14:textId="43B3D5C5" w:rsidR="00556FCF" w:rsidRDefault="00556FCF">
      <w:pPr>
        <w:rPr>
          <w:b/>
          <w:bCs/>
          <w:i/>
          <w:iCs/>
        </w:rPr>
      </w:pPr>
    </w:p>
    <w:p w14:paraId="018B8D86" w14:textId="576E5329" w:rsidR="007F37BD" w:rsidRPr="009C7A48" w:rsidRDefault="00836EDB" w:rsidP="00526055">
      <w:pPr>
        <w:autoSpaceDE w:val="0"/>
        <w:autoSpaceDN w:val="0"/>
        <w:adjustRightInd w:val="0"/>
        <w:spacing w:line="480" w:lineRule="auto"/>
        <w:rPr>
          <w:b/>
          <w:bCs/>
          <w:i/>
          <w:iCs/>
        </w:rPr>
      </w:pPr>
      <w:r w:rsidRPr="009C7A48">
        <w:rPr>
          <w:b/>
          <w:bCs/>
          <w:i/>
          <w:iCs/>
        </w:rPr>
        <w:t xml:space="preserve">5.2 </w:t>
      </w:r>
      <w:r w:rsidR="00256F46" w:rsidRPr="009C7A48">
        <w:rPr>
          <w:b/>
          <w:bCs/>
          <w:i/>
          <w:iCs/>
        </w:rPr>
        <w:t>Content</w:t>
      </w:r>
    </w:p>
    <w:p w14:paraId="0A58042E" w14:textId="016E175C" w:rsidR="00576161" w:rsidRPr="009C7A48" w:rsidRDefault="007D5E73" w:rsidP="00526055">
      <w:pPr>
        <w:spacing w:line="480" w:lineRule="auto"/>
        <w:rPr>
          <w:sz w:val="22"/>
          <w:szCs w:val="22"/>
        </w:rPr>
      </w:pPr>
      <w:r>
        <w:tab/>
      </w:r>
      <w:r w:rsidR="00437CF1" w:rsidRPr="009C7A48">
        <w:rPr>
          <w:sz w:val="22"/>
          <w:szCs w:val="22"/>
        </w:rPr>
        <w:t xml:space="preserve">The second component of our analysis </w:t>
      </w:r>
      <w:r w:rsidR="00A272D0" w:rsidRPr="009C7A48">
        <w:rPr>
          <w:sz w:val="22"/>
          <w:szCs w:val="22"/>
        </w:rPr>
        <w:t xml:space="preserve">explores how the focus of </w:t>
      </w:r>
      <w:r w:rsidR="00437CF1" w:rsidRPr="009C7A48">
        <w:rPr>
          <w:sz w:val="22"/>
          <w:szCs w:val="22"/>
        </w:rPr>
        <w:t xml:space="preserve">gender-attentive transitional justice policies </w:t>
      </w:r>
      <w:r w:rsidR="00A272D0" w:rsidRPr="009C7A48">
        <w:rPr>
          <w:sz w:val="22"/>
          <w:szCs w:val="22"/>
        </w:rPr>
        <w:t xml:space="preserve">has evolved </w:t>
      </w:r>
      <w:r w:rsidR="00437CF1" w:rsidRPr="009C7A48">
        <w:rPr>
          <w:sz w:val="22"/>
          <w:szCs w:val="22"/>
        </w:rPr>
        <w:t xml:space="preserve">over time. </w:t>
      </w:r>
      <w:r w:rsidR="00A272D0" w:rsidRPr="009C7A48">
        <w:rPr>
          <w:sz w:val="22"/>
          <w:szCs w:val="22"/>
        </w:rPr>
        <w:t xml:space="preserve">In particular, we assess how well two critiques of </w:t>
      </w:r>
      <w:r w:rsidR="00A86D73" w:rsidRPr="009C7A48">
        <w:rPr>
          <w:sz w:val="22"/>
          <w:szCs w:val="22"/>
        </w:rPr>
        <w:t>TJ</w:t>
      </w:r>
      <w:r w:rsidR="00A272D0" w:rsidRPr="009C7A48">
        <w:rPr>
          <w:sz w:val="22"/>
          <w:szCs w:val="22"/>
        </w:rPr>
        <w:t xml:space="preserve"> policies align with the historical record. </w:t>
      </w:r>
      <w:r w:rsidR="00953B2E" w:rsidRPr="009C7A48">
        <w:rPr>
          <w:sz w:val="22"/>
          <w:szCs w:val="22"/>
        </w:rPr>
        <w:t>The f</w:t>
      </w:r>
      <w:r w:rsidR="0099341C" w:rsidRPr="009C7A48">
        <w:rPr>
          <w:sz w:val="22"/>
          <w:szCs w:val="22"/>
        </w:rPr>
        <w:t>irst</w:t>
      </w:r>
      <w:r w:rsidR="00953B2E" w:rsidRPr="009C7A48">
        <w:rPr>
          <w:sz w:val="22"/>
          <w:szCs w:val="22"/>
        </w:rPr>
        <w:t xml:space="preserve"> argues</w:t>
      </w:r>
      <w:r w:rsidR="0099341C" w:rsidRPr="009C7A48">
        <w:rPr>
          <w:sz w:val="22"/>
          <w:szCs w:val="22"/>
        </w:rPr>
        <w:t xml:space="preserve"> that TJ policies use a narrow understanding of gendered </w:t>
      </w:r>
      <w:r w:rsidR="0099341C" w:rsidRPr="009C7A48">
        <w:rPr>
          <w:i/>
          <w:iCs/>
          <w:sz w:val="22"/>
          <w:szCs w:val="22"/>
        </w:rPr>
        <w:t>harms</w:t>
      </w:r>
      <w:r w:rsidR="0099341C" w:rsidRPr="009C7A48">
        <w:rPr>
          <w:sz w:val="22"/>
          <w:szCs w:val="22"/>
        </w:rPr>
        <w:t xml:space="preserve">, privileging bodily harms and rape over other manifestations of gender-based harm. </w:t>
      </w:r>
      <w:r w:rsidR="00953B2E" w:rsidRPr="009C7A48">
        <w:rPr>
          <w:sz w:val="22"/>
          <w:szCs w:val="22"/>
        </w:rPr>
        <w:t>The s</w:t>
      </w:r>
      <w:r w:rsidR="0099341C" w:rsidRPr="009C7A48">
        <w:rPr>
          <w:sz w:val="22"/>
          <w:szCs w:val="22"/>
        </w:rPr>
        <w:t>econd</w:t>
      </w:r>
      <w:r w:rsidR="00953B2E" w:rsidRPr="009C7A48">
        <w:rPr>
          <w:sz w:val="22"/>
          <w:szCs w:val="22"/>
        </w:rPr>
        <w:t xml:space="preserve"> argues </w:t>
      </w:r>
      <w:r w:rsidR="00A272D0" w:rsidRPr="009C7A48">
        <w:rPr>
          <w:sz w:val="22"/>
          <w:szCs w:val="22"/>
        </w:rPr>
        <w:t xml:space="preserve">that TJ policies apply a narrow definition of gendered </w:t>
      </w:r>
      <w:r w:rsidR="00A272D0" w:rsidRPr="009C7A48">
        <w:rPr>
          <w:i/>
          <w:iCs/>
          <w:sz w:val="22"/>
          <w:szCs w:val="22"/>
        </w:rPr>
        <w:t>victims</w:t>
      </w:r>
      <w:r w:rsidR="00A272D0" w:rsidRPr="009C7A48">
        <w:rPr>
          <w:sz w:val="22"/>
          <w:szCs w:val="22"/>
        </w:rPr>
        <w:t xml:space="preserve">, typically focusing on the experiences of women and excluding those of men, boys, and LGBTQI+ individuals. </w:t>
      </w:r>
    </w:p>
    <w:p w14:paraId="788D8FA9" w14:textId="2B11F00B" w:rsidR="0099341C" w:rsidRPr="009C7A48" w:rsidRDefault="0099341C" w:rsidP="00526055">
      <w:pPr>
        <w:spacing w:line="480" w:lineRule="auto"/>
        <w:ind w:firstLine="720"/>
        <w:rPr>
          <w:sz w:val="22"/>
          <w:szCs w:val="22"/>
        </w:rPr>
      </w:pPr>
      <w:r w:rsidRPr="009C7A48">
        <w:rPr>
          <w:sz w:val="22"/>
          <w:szCs w:val="22"/>
        </w:rPr>
        <w:lastRenderedPageBreak/>
        <w:t xml:space="preserve">These claims are not entirely inconsistent with our argument that </w:t>
      </w:r>
      <w:r w:rsidR="004673E0" w:rsidRPr="009C7A48">
        <w:rPr>
          <w:sz w:val="22"/>
          <w:szCs w:val="22"/>
        </w:rPr>
        <w:t xml:space="preserve">gender-attentive policies diffused from the global feminist movement. </w:t>
      </w:r>
      <w:r w:rsidR="00953B2E" w:rsidRPr="009C7A48">
        <w:rPr>
          <w:sz w:val="22"/>
          <w:szCs w:val="22"/>
        </w:rPr>
        <w:t>E</w:t>
      </w:r>
      <w:r w:rsidRPr="009C7A48">
        <w:rPr>
          <w:sz w:val="22"/>
          <w:szCs w:val="22"/>
        </w:rPr>
        <w:t>arly global efforts</w:t>
      </w:r>
      <w:r w:rsidR="00BC073E" w:rsidRPr="009C7A48">
        <w:rPr>
          <w:sz w:val="22"/>
          <w:szCs w:val="22"/>
        </w:rPr>
        <w:t>, such as CEDAW,</w:t>
      </w:r>
      <w:r w:rsidRPr="009C7A48">
        <w:rPr>
          <w:sz w:val="22"/>
          <w:szCs w:val="22"/>
        </w:rPr>
        <w:t xml:space="preserve"> </w:t>
      </w:r>
      <w:r w:rsidR="00953B2E" w:rsidRPr="009C7A48">
        <w:rPr>
          <w:sz w:val="22"/>
          <w:szCs w:val="22"/>
        </w:rPr>
        <w:t xml:space="preserve">focused entirely on women but </w:t>
      </w:r>
      <w:r w:rsidRPr="009C7A48">
        <w:rPr>
          <w:sz w:val="22"/>
          <w:szCs w:val="22"/>
        </w:rPr>
        <w:t>on discrimination</w:t>
      </w:r>
      <w:r w:rsidR="00BC073E" w:rsidRPr="009C7A48">
        <w:rPr>
          <w:sz w:val="22"/>
          <w:szCs w:val="22"/>
        </w:rPr>
        <w:t xml:space="preserve">, </w:t>
      </w:r>
      <w:r w:rsidR="00953B2E" w:rsidRPr="009C7A48">
        <w:rPr>
          <w:sz w:val="22"/>
          <w:szCs w:val="22"/>
        </w:rPr>
        <w:t>not violence. T</w:t>
      </w:r>
      <w:r w:rsidR="00BC073E" w:rsidRPr="009C7A48">
        <w:rPr>
          <w:sz w:val="22"/>
          <w:szCs w:val="22"/>
        </w:rPr>
        <w:t xml:space="preserve">he next wave of </w:t>
      </w:r>
      <w:r w:rsidR="00044F78" w:rsidRPr="009C7A48">
        <w:rPr>
          <w:sz w:val="22"/>
          <w:szCs w:val="22"/>
        </w:rPr>
        <w:t xml:space="preserve">mobilization in the 1980s and early 1990s focused on </w:t>
      </w:r>
      <w:r w:rsidR="00044F78" w:rsidRPr="009C7A48">
        <w:rPr>
          <w:i/>
          <w:iCs/>
          <w:sz w:val="22"/>
          <w:szCs w:val="22"/>
        </w:rPr>
        <w:t>violence</w:t>
      </w:r>
      <w:r w:rsidR="00044F78" w:rsidRPr="009C7A48">
        <w:rPr>
          <w:sz w:val="22"/>
          <w:szCs w:val="22"/>
        </w:rPr>
        <w:t xml:space="preserve"> against </w:t>
      </w:r>
      <w:r w:rsidR="00044F78" w:rsidRPr="009C7A48">
        <w:rPr>
          <w:i/>
          <w:iCs/>
          <w:sz w:val="22"/>
          <w:szCs w:val="22"/>
        </w:rPr>
        <w:t>women</w:t>
      </w:r>
      <w:r w:rsidR="00BC073E" w:rsidRPr="009C7A48">
        <w:rPr>
          <w:sz w:val="22"/>
          <w:szCs w:val="22"/>
        </w:rPr>
        <w:t xml:space="preserve">, not on </w:t>
      </w:r>
      <w:r w:rsidR="00937D55" w:rsidRPr="009C7A48">
        <w:rPr>
          <w:sz w:val="22"/>
          <w:szCs w:val="22"/>
        </w:rPr>
        <w:t xml:space="preserve">broader </w:t>
      </w:r>
      <w:r w:rsidR="00BC073E" w:rsidRPr="009C7A48">
        <w:rPr>
          <w:sz w:val="22"/>
          <w:szCs w:val="22"/>
        </w:rPr>
        <w:t>gender violence</w:t>
      </w:r>
      <w:r w:rsidR="00937D55" w:rsidRPr="009C7A48">
        <w:rPr>
          <w:sz w:val="22"/>
          <w:szCs w:val="22"/>
        </w:rPr>
        <w:t xml:space="preserve"> or gender harms</w:t>
      </w:r>
      <w:r w:rsidR="00BC073E" w:rsidRPr="009C7A48">
        <w:rPr>
          <w:sz w:val="22"/>
          <w:szCs w:val="22"/>
        </w:rPr>
        <w:t xml:space="preserve">. </w:t>
      </w:r>
      <w:r w:rsidR="00C04200" w:rsidRPr="009C7A48">
        <w:rPr>
          <w:sz w:val="22"/>
          <w:szCs w:val="22"/>
        </w:rPr>
        <w:t>Attention</w:t>
      </w:r>
      <w:r w:rsidR="00BC073E" w:rsidRPr="009C7A48">
        <w:rPr>
          <w:sz w:val="22"/>
          <w:szCs w:val="22"/>
        </w:rPr>
        <w:t xml:space="preserve"> to gender, broadly defined, was not initially present in feminist activism, no</w:t>
      </w:r>
      <w:r w:rsidR="00E20D3B" w:rsidRPr="009C7A48">
        <w:rPr>
          <w:sz w:val="22"/>
          <w:szCs w:val="22"/>
        </w:rPr>
        <w:t>r</w:t>
      </w:r>
      <w:r w:rsidR="00BC073E" w:rsidRPr="009C7A48">
        <w:rPr>
          <w:sz w:val="22"/>
          <w:szCs w:val="22"/>
        </w:rPr>
        <w:t xml:space="preserve"> in the policies it inspired. </w:t>
      </w:r>
    </w:p>
    <w:p w14:paraId="5C381ECE" w14:textId="77777777" w:rsidR="00077332" w:rsidRPr="002A06F1" w:rsidRDefault="00E17689" w:rsidP="00526055">
      <w:pPr>
        <w:spacing w:line="480" w:lineRule="auto"/>
        <w:rPr>
          <w:color w:val="000000" w:themeColor="text1"/>
          <w:sz w:val="22"/>
          <w:szCs w:val="22"/>
        </w:rPr>
      </w:pPr>
      <w:r w:rsidRPr="009C7A48">
        <w:rPr>
          <w:sz w:val="22"/>
          <w:szCs w:val="22"/>
        </w:rPr>
        <w:tab/>
      </w:r>
      <w:r w:rsidR="00A467E7" w:rsidRPr="009C7A48">
        <w:rPr>
          <w:sz w:val="22"/>
          <w:szCs w:val="22"/>
        </w:rPr>
        <w:t xml:space="preserve">As </w:t>
      </w:r>
      <w:r w:rsidR="00077FA1" w:rsidRPr="009C7A48">
        <w:rPr>
          <w:sz w:val="22"/>
          <w:szCs w:val="22"/>
        </w:rPr>
        <w:t>anticipated</w:t>
      </w:r>
      <w:r w:rsidR="00A467E7" w:rsidRPr="009C7A48">
        <w:rPr>
          <w:sz w:val="22"/>
          <w:szCs w:val="22"/>
        </w:rPr>
        <w:t xml:space="preserve"> by these arguments, </w:t>
      </w:r>
      <w:r w:rsidR="00BB3D22" w:rsidRPr="009C7A48">
        <w:rPr>
          <w:sz w:val="22"/>
          <w:szCs w:val="22"/>
        </w:rPr>
        <w:t>most</w:t>
      </w:r>
      <w:r w:rsidR="00A467E7" w:rsidRPr="009C7A48">
        <w:rPr>
          <w:sz w:val="22"/>
          <w:szCs w:val="22"/>
        </w:rPr>
        <w:t xml:space="preserve"> gender-attentive TJ </w:t>
      </w:r>
      <w:r w:rsidR="00CD57F6" w:rsidRPr="009C7A48">
        <w:rPr>
          <w:sz w:val="22"/>
          <w:szCs w:val="22"/>
        </w:rPr>
        <w:t>trials</w:t>
      </w:r>
      <w:r w:rsidR="00A467E7" w:rsidRPr="009C7A48">
        <w:rPr>
          <w:sz w:val="22"/>
          <w:szCs w:val="22"/>
        </w:rPr>
        <w:t xml:space="preserve"> concern </w:t>
      </w:r>
      <w:r w:rsidR="00794AC1" w:rsidRPr="009C7A48">
        <w:rPr>
          <w:sz w:val="22"/>
          <w:szCs w:val="22"/>
        </w:rPr>
        <w:t>allegations</w:t>
      </w:r>
      <w:r w:rsidR="00A467E7" w:rsidRPr="009C7A48">
        <w:rPr>
          <w:sz w:val="22"/>
          <w:szCs w:val="22"/>
        </w:rPr>
        <w:t xml:space="preserve"> of sexual and gender-based violence </w:t>
      </w:r>
      <w:r w:rsidR="00794AC1" w:rsidRPr="009C7A48">
        <w:rPr>
          <w:sz w:val="22"/>
          <w:szCs w:val="22"/>
        </w:rPr>
        <w:t xml:space="preserve">(SGBV) </w:t>
      </w:r>
      <w:r w:rsidR="00B55438" w:rsidRPr="009C7A48">
        <w:rPr>
          <w:sz w:val="22"/>
          <w:szCs w:val="22"/>
        </w:rPr>
        <w:t>with</w:t>
      </w:r>
      <w:r w:rsidR="00A467E7" w:rsidRPr="009C7A48">
        <w:rPr>
          <w:sz w:val="22"/>
          <w:szCs w:val="22"/>
        </w:rPr>
        <w:t xml:space="preserve"> female</w:t>
      </w:r>
      <w:r w:rsidR="00B55438" w:rsidRPr="009C7A48">
        <w:rPr>
          <w:sz w:val="22"/>
          <w:szCs w:val="22"/>
        </w:rPr>
        <w:t xml:space="preserve"> victims</w:t>
      </w:r>
      <w:r w:rsidR="00A467E7" w:rsidRPr="009C7A48">
        <w:rPr>
          <w:sz w:val="22"/>
          <w:szCs w:val="22"/>
        </w:rPr>
        <w:t xml:space="preserve">. </w:t>
      </w:r>
      <w:r w:rsidR="00794AC1" w:rsidRPr="009C7A48">
        <w:rPr>
          <w:sz w:val="22"/>
          <w:szCs w:val="22"/>
        </w:rPr>
        <w:t>Charges in 245 (96.8%) of the 253 gender-attentive trials involve SGBV</w:t>
      </w:r>
      <w:r w:rsidR="006C0B1F" w:rsidRPr="009C7A48">
        <w:rPr>
          <w:sz w:val="22"/>
          <w:szCs w:val="22"/>
        </w:rPr>
        <w:t xml:space="preserve">; </w:t>
      </w:r>
      <w:r w:rsidR="00794AC1" w:rsidRPr="009C7A48">
        <w:rPr>
          <w:sz w:val="22"/>
          <w:szCs w:val="22"/>
        </w:rPr>
        <w:t>198 (78.3%) involve rape</w:t>
      </w:r>
      <w:r w:rsidR="006C0B1F" w:rsidRPr="009C7A48">
        <w:rPr>
          <w:sz w:val="22"/>
          <w:szCs w:val="22"/>
        </w:rPr>
        <w:t>;</w:t>
      </w:r>
      <w:r w:rsidR="00794AC1" w:rsidRPr="009C7A48">
        <w:rPr>
          <w:sz w:val="22"/>
          <w:szCs w:val="22"/>
        </w:rPr>
        <w:t xml:space="preserve"> and </w:t>
      </w:r>
      <w:r w:rsidR="006C0B1F" w:rsidRPr="009C7A48">
        <w:rPr>
          <w:sz w:val="22"/>
          <w:szCs w:val="22"/>
        </w:rPr>
        <w:t xml:space="preserve">only 47 </w:t>
      </w:r>
      <w:r w:rsidR="00A343AA" w:rsidRPr="009C7A48">
        <w:rPr>
          <w:sz w:val="22"/>
          <w:szCs w:val="22"/>
        </w:rPr>
        <w:t xml:space="preserve">(18.6%) involve non-rape SGBV crimes. </w:t>
      </w:r>
      <w:r w:rsidR="004623B2" w:rsidRPr="009C7A48">
        <w:rPr>
          <w:sz w:val="22"/>
          <w:szCs w:val="22"/>
        </w:rPr>
        <w:t xml:space="preserve">This evidence suggests that when TJ trials are gender-attentive, they predominately focus on physical </w:t>
      </w:r>
      <w:r w:rsidR="004623B2" w:rsidRPr="002A06F1">
        <w:rPr>
          <w:color w:val="000000" w:themeColor="text1"/>
          <w:sz w:val="22"/>
          <w:szCs w:val="22"/>
        </w:rPr>
        <w:t xml:space="preserve">harm. </w:t>
      </w:r>
    </w:p>
    <w:p w14:paraId="0D89AF1F" w14:textId="1D912EF0" w:rsidR="00077332" w:rsidRPr="002A06F1" w:rsidRDefault="004623B2" w:rsidP="00526055">
      <w:pPr>
        <w:spacing w:line="480" w:lineRule="auto"/>
        <w:ind w:firstLine="720"/>
        <w:rPr>
          <w:color w:val="000000" w:themeColor="text1"/>
          <w:sz w:val="22"/>
          <w:szCs w:val="22"/>
        </w:rPr>
      </w:pPr>
      <w:r w:rsidRPr="002A06F1">
        <w:rPr>
          <w:color w:val="000000" w:themeColor="text1"/>
          <w:sz w:val="22"/>
          <w:szCs w:val="22"/>
        </w:rPr>
        <w:t xml:space="preserve">The trials data also provides strong support for the claim that </w:t>
      </w:r>
      <w:r w:rsidR="00D31E38" w:rsidRPr="002A06F1">
        <w:rPr>
          <w:color w:val="000000" w:themeColor="text1"/>
          <w:sz w:val="22"/>
          <w:szCs w:val="22"/>
        </w:rPr>
        <w:t xml:space="preserve">gender-attentive </w:t>
      </w:r>
      <w:r w:rsidRPr="002A06F1">
        <w:rPr>
          <w:color w:val="000000" w:themeColor="text1"/>
          <w:sz w:val="22"/>
          <w:szCs w:val="22"/>
        </w:rPr>
        <w:t xml:space="preserve">trials disproportionately focus on harms suffered by women. Charges </w:t>
      </w:r>
      <w:r w:rsidR="007E6D65" w:rsidRPr="002A06F1">
        <w:rPr>
          <w:color w:val="000000" w:themeColor="text1"/>
          <w:sz w:val="22"/>
          <w:szCs w:val="22"/>
        </w:rPr>
        <w:t xml:space="preserve">and/or context </w:t>
      </w:r>
      <w:r w:rsidRPr="002A06F1">
        <w:rPr>
          <w:color w:val="000000" w:themeColor="text1"/>
          <w:sz w:val="22"/>
          <w:szCs w:val="22"/>
        </w:rPr>
        <w:t xml:space="preserve">in 190 (75.1%) of the 253 gender-attentive trials involve </w:t>
      </w:r>
      <w:r w:rsidR="00E77B8D" w:rsidRPr="002A06F1">
        <w:rPr>
          <w:color w:val="000000" w:themeColor="text1"/>
          <w:sz w:val="22"/>
          <w:szCs w:val="22"/>
        </w:rPr>
        <w:t xml:space="preserve">adult </w:t>
      </w:r>
      <w:r w:rsidRPr="002A06F1">
        <w:rPr>
          <w:color w:val="000000" w:themeColor="text1"/>
          <w:sz w:val="22"/>
          <w:szCs w:val="22"/>
        </w:rPr>
        <w:t>female victims, 57 (22.5%)</w:t>
      </w:r>
      <w:r w:rsidR="00E77B8D" w:rsidRPr="002A06F1">
        <w:rPr>
          <w:color w:val="000000" w:themeColor="text1"/>
          <w:sz w:val="22"/>
          <w:szCs w:val="22"/>
        </w:rPr>
        <w:t xml:space="preserve"> involve children</w:t>
      </w:r>
      <w:r w:rsidRPr="002A06F1">
        <w:rPr>
          <w:color w:val="000000" w:themeColor="text1"/>
          <w:sz w:val="22"/>
          <w:szCs w:val="22"/>
        </w:rPr>
        <w:t>,</w:t>
      </w:r>
      <w:r w:rsidR="006C1E7F" w:rsidRPr="002A06F1">
        <w:rPr>
          <w:color w:val="000000" w:themeColor="text1"/>
          <w:sz w:val="22"/>
          <w:szCs w:val="22"/>
        </w:rPr>
        <w:t xml:space="preserve"> 12 (4.7%) involve adult ma</w:t>
      </w:r>
      <w:r w:rsidR="00C00391" w:rsidRPr="002A06F1">
        <w:rPr>
          <w:color w:val="000000" w:themeColor="text1"/>
          <w:sz w:val="22"/>
          <w:szCs w:val="22"/>
        </w:rPr>
        <w:t>le victims, and only 1 involves LGBTQI+ victims</w:t>
      </w:r>
      <w:r w:rsidR="006D2361" w:rsidRPr="002A06F1">
        <w:rPr>
          <w:color w:val="000000" w:themeColor="text1"/>
          <w:sz w:val="22"/>
          <w:szCs w:val="22"/>
        </w:rPr>
        <w:t>.</w:t>
      </w:r>
      <w:r w:rsidRPr="002A06F1">
        <w:rPr>
          <w:rStyle w:val="FootnoteReference"/>
          <w:color w:val="000000" w:themeColor="text1"/>
          <w:sz w:val="22"/>
          <w:szCs w:val="22"/>
        </w:rPr>
        <w:footnoteReference w:id="40"/>
      </w:r>
      <w:r w:rsidR="00D31E38" w:rsidRPr="002A06F1">
        <w:rPr>
          <w:color w:val="000000" w:themeColor="text1"/>
          <w:sz w:val="22"/>
          <w:szCs w:val="22"/>
        </w:rPr>
        <w:t xml:space="preserve"> </w:t>
      </w:r>
      <w:r w:rsidR="00D114C0" w:rsidRPr="002A06F1">
        <w:rPr>
          <w:color w:val="000000" w:themeColor="text1"/>
          <w:sz w:val="22"/>
          <w:szCs w:val="22"/>
        </w:rPr>
        <w:t>The data is thus consistent with the claim that there has been little attention or acknowledgment of</w:t>
      </w:r>
      <w:r w:rsidR="003B0A0A" w:rsidRPr="002A06F1">
        <w:rPr>
          <w:color w:val="000000" w:themeColor="text1"/>
          <w:sz w:val="22"/>
          <w:szCs w:val="22"/>
        </w:rPr>
        <w:t xml:space="preserve"> the experiences of men or LGBTQI+ individuals</w:t>
      </w:r>
      <w:r w:rsidR="00D114C0" w:rsidRPr="002A06F1">
        <w:rPr>
          <w:color w:val="000000" w:themeColor="text1"/>
          <w:sz w:val="22"/>
          <w:szCs w:val="22"/>
        </w:rPr>
        <w:t xml:space="preserve"> with gender-based violence. </w:t>
      </w:r>
    </w:p>
    <w:p w14:paraId="50DF3258" w14:textId="1C577738" w:rsidR="00F4380D" w:rsidRPr="009C7A48" w:rsidRDefault="00F45B9A" w:rsidP="00526055">
      <w:pPr>
        <w:spacing w:line="480" w:lineRule="auto"/>
        <w:ind w:firstLine="720"/>
        <w:rPr>
          <w:sz w:val="22"/>
          <w:szCs w:val="22"/>
        </w:rPr>
      </w:pPr>
      <w:r w:rsidRPr="002A06F1">
        <w:rPr>
          <w:color w:val="000000" w:themeColor="text1"/>
          <w:sz w:val="22"/>
          <w:szCs w:val="22"/>
        </w:rPr>
        <w:t>These finding</w:t>
      </w:r>
      <w:r w:rsidR="004B4F67" w:rsidRPr="002A06F1">
        <w:rPr>
          <w:color w:val="000000" w:themeColor="text1"/>
          <w:sz w:val="22"/>
          <w:szCs w:val="22"/>
        </w:rPr>
        <w:t>s</w:t>
      </w:r>
      <w:r w:rsidRPr="002A06F1">
        <w:rPr>
          <w:color w:val="000000" w:themeColor="text1"/>
          <w:sz w:val="22"/>
          <w:szCs w:val="22"/>
        </w:rPr>
        <w:t xml:space="preserve"> are </w:t>
      </w:r>
      <w:r w:rsidR="00057E99" w:rsidRPr="002A06F1">
        <w:rPr>
          <w:color w:val="000000" w:themeColor="text1"/>
          <w:sz w:val="22"/>
          <w:szCs w:val="22"/>
        </w:rPr>
        <w:t xml:space="preserve">also </w:t>
      </w:r>
      <w:r w:rsidRPr="002A06F1">
        <w:rPr>
          <w:color w:val="000000" w:themeColor="text1"/>
          <w:sz w:val="22"/>
          <w:szCs w:val="22"/>
        </w:rPr>
        <w:t xml:space="preserve">consistent </w:t>
      </w:r>
      <w:r w:rsidRPr="009C7A48">
        <w:rPr>
          <w:sz w:val="22"/>
          <w:szCs w:val="22"/>
        </w:rPr>
        <w:t>with our argument about the importance of feminist activism for the emergence of gender</w:t>
      </w:r>
      <w:r w:rsidR="002E3D99" w:rsidRPr="009C7A48">
        <w:rPr>
          <w:sz w:val="22"/>
          <w:szCs w:val="22"/>
        </w:rPr>
        <w:t>-</w:t>
      </w:r>
      <w:r w:rsidRPr="009C7A48">
        <w:rPr>
          <w:sz w:val="22"/>
          <w:szCs w:val="22"/>
        </w:rPr>
        <w:t xml:space="preserve">attentive TJ. Since feminist activism in early decades was focused on drawing attention to and getting accountability for violence against women, we would expect that the trends in transitional justice should reflect these concerns. Even the term </w:t>
      </w:r>
      <w:r w:rsidR="00D3157E" w:rsidRPr="009C7A48">
        <w:rPr>
          <w:sz w:val="22"/>
          <w:szCs w:val="22"/>
        </w:rPr>
        <w:t>SGBV</w:t>
      </w:r>
      <w:r w:rsidRPr="009C7A48">
        <w:rPr>
          <w:sz w:val="22"/>
          <w:szCs w:val="22"/>
        </w:rPr>
        <w:t xml:space="preserve"> </w:t>
      </w:r>
      <w:r w:rsidR="00BA4FEB">
        <w:rPr>
          <w:sz w:val="22"/>
          <w:szCs w:val="22"/>
        </w:rPr>
        <w:t xml:space="preserve">(as opposed to violence against women) </w:t>
      </w:r>
      <w:r w:rsidRPr="009C7A48">
        <w:rPr>
          <w:sz w:val="22"/>
          <w:szCs w:val="22"/>
        </w:rPr>
        <w:t>was not in common usage until the 1990s and didn’t grow dramatically until the 2000s.</w:t>
      </w:r>
      <w:r w:rsidRPr="009C7A48">
        <w:rPr>
          <w:rStyle w:val="FootnoteReference"/>
          <w:sz w:val="22"/>
          <w:szCs w:val="22"/>
        </w:rPr>
        <w:footnoteReference w:id="41"/>
      </w:r>
      <w:r w:rsidRPr="009C7A48">
        <w:rPr>
          <w:sz w:val="22"/>
          <w:szCs w:val="22"/>
        </w:rPr>
        <w:t xml:space="preserve"> </w:t>
      </w:r>
    </w:p>
    <w:p w14:paraId="60D0AF9E" w14:textId="02039F0E" w:rsidR="00F4380D" w:rsidRPr="009C7A48" w:rsidRDefault="00F4380D" w:rsidP="00526055">
      <w:pPr>
        <w:spacing w:line="480" w:lineRule="auto"/>
        <w:ind w:firstLine="720"/>
        <w:rPr>
          <w:sz w:val="22"/>
          <w:szCs w:val="22"/>
        </w:rPr>
      </w:pPr>
      <w:r w:rsidRPr="009C7A48">
        <w:rPr>
          <w:color w:val="212121"/>
          <w:sz w:val="22"/>
          <w:szCs w:val="22"/>
        </w:rPr>
        <w:t xml:space="preserve">While </w:t>
      </w:r>
      <w:r w:rsidRPr="009C7A48">
        <w:rPr>
          <w:sz w:val="22"/>
          <w:szCs w:val="22"/>
        </w:rPr>
        <w:t>m</w:t>
      </w:r>
      <w:r w:rsidR="00021A1A" w:rsidRPr="009C7A48">
        <w:rPr>
          <w:sz w:val="22"/>
          <w:szCs w:val="22"/>
        </w:rPr>
        <w:t>ost of the gender</w:t>
      </w:r>
      <w:r w:rsidR="001870E6" w:rsidRPr="009C7A48">
        <w:rPr>
          <w:sz w:val="22"/>
          <w:szCs w:val="22"/>
        </w:rPr>
        <w:t>-</w:t>
      </w:r>
      <w:r w:rsidR="00021A1A" w:rsidRPr="009C7A48">
        <w:rPr>
          <w:sz w:val="22"/>
          <w:szCs w:val="22"/>
        </w:rPr>
        <w:t>attentive trials have a narrow construction of gender as sex and of crimes as bodily harm</w:t>
      </w:r>
      <w:r w:rsidRPr="009C7A48">
        <w:rPr>
          <w:sz w:val="22"/>
          <w:szCs w:val="22"/>
        </w:rPr>
        <w:t xml:space="preserve">, two insights </w:t>
      </w:r>
      <w:r w:rsidR="0051358A">
        <w:rPr>
          <w:sz w:val="22"/>
          <w:szCs w:val="22"/>
        </w:rPr>
        <w:t>indicate</w:t>
      </w:r>
      <w:r w:rsidRPr="009C7A48">
        <w:rPr>
          <w:sz w:val="22"/>
          <w:szCs w:val="22"/>
        </w:rPr>
        <w:t xml:space="preserve"> a more complex picture. First</w:t>
      </w:r>
      <w:r w:rsidR="00FD6D01" w:rsidRPr="009C7A48">
        <w:rPr>
          <w:sz w:val="22"/>
          <w:szCs w:val="22"/>
        </w:rPr>
        <w:t xml:space="preserve">, </w:t>
      </w:r>
      <w:r w:rsidR="00360EC3">
        <w:rPr>
          <w:sz w:val="22"/>
          <w:szCs w:val="22"/>
        </w:rPr>
        <w:t xml:space="preserve">transitional justice </w:t>
      </w:r>
      <w:r w:rsidR="00FD6D01" w:rsidRPr="009C7A48">
        <w:rPr>
          <w:sz w:val="22"/>
          <w:szCs w:val="22"/>
        </w:rPr>
        <w:t xml:space="preserve">involving </w:t>
      </w:r>
      <w:r w:rsidR="00FD6D01" w:rsidRPr="009C7A48">
        <w:rPr>
          <w:sz w:val="22"/>
          <w:szCs w:val="22"/>
        </w:rPr>
        <w:lastRenderedPageBreak/>
        <w:t>violence</w:t>
      </w:r>
      <w:r w:rsidR="001753F1" w:rsidRPr="009C7A48">
        <w:rPr>
          <w:sz w:val="22"/>
          <w:szCs w:val="22"/>
        </w:rPr>
        <w:t xml:space="preserve"> against</w:t>
      </w:r>
      <w:r w:rsidR="00FD6D01" w:rsidRPr="009C7A48">
        <w:rPr>
          <w:sz w:val="22"/>
          <w:szCs w:val="22"/>
        </w:rPr>
        <w:t xml:space="preserve"> male</w:t>
      </w:r>
      <w:r w:rsidR="00953B2E" w:rsidRPr="009C7A48">
        <w:rPr>
          <w:sz w:val="22"/>
          <w:szCs w:val="22"/>
        </w:rPr>
        <w:t xml:space="preserve"> </w:t>
      </w:r>
      <w:r w:rsidR="00FD6D01" w:rsidRPr="009C7A48">
        <w:rPr>
          <w:sz w:val="22"/>
          <w:szCs w:val="22"/>
        </w:rPr>
        <w:t xml:space="preserve">or </w:t>
      </w:r>
      <w:r w:rsidR="000B3730" w:rsidRPr="009C7A48">
        <w:rPr>
          <w:sz w:val="22"/>
          <w:szCs w:val="22"/>
        </w:rPr>
        <w:t>LGBTQI</w:t>
      </w:r>
      <w:r w:rsidR="00FD6D01" w:rsidRPr="009C7A48">
        <w:rPr>
          <w:sz w:val="22"/>
          <w:szCs w:val="22"/>
        </w:rPr>
        <w:t>+ victims have emerged more recently, suggesting changing practices over time.</w:t>
      </w:r>
      <w:r w:rsidR="00921B6B" w:rsidRPr="009C7A48">
        <w:rPr>
          <w:sz w:val="22"/>
          <w:szCs w:val="22"/>
        </w:rPr>
        <w:t xml:space="preserve"> </w:t>
      </w:r>
      <w:r w:rsidRPr="009C7A48">
        <w:rPr>
          <w:sz w:val="22"/>
          <w:szCs w:val="22"/>
        </w:rPr>
        <w:t xml:space="preserve">Second, over 22% of all gender-attentive trials involve crimes against children. </w:t>
      </w:r>
      <w:r w:rsidR="00E4669A" w:rsidRPr="009C7A48">
        <w:rPr>
          <w:sz w:val="22"/>
          <w:szCs w:val="22"/>
        </w:rPr>
        <w:t>Writing in 2009, Mazurana and Carlson</w:t>
      </w:r>
      <w:r w:rsidR="00C408B5" w:rsidRPr="009C7A48">
        <w:rPr>
          <w:sz w:val="22"/>
          <w:szCs w:val="22"/>
        </w:rPr>
        <w:t xml:space="preserve"> </w:t>
      </w:r>
      <w:r w:rsidR="00E4669A" w:rsidRPr="009C7A48">
        <w:rPr>
          <w:sz w:val="22"/>
          <w:szCs w:val="22"/>
        </w:rPr>
        <w:t>claim that “the majority of national and international tribunals and truth commissions have an uneven and overall poor record of recognizing or addressing the range of grave violations suffered by children.”</w:t>
      </w:r>
      <w:r w:rsidR="00E4669A" w:rsidRPr="009C7A48">
        <w:rPr>
          <w:rStyle w:val="FootnoteReference"/>
          <w:sz w:val="22"/>
          <w:szCs w:val="22"/>
        </w:rPr>
        <w:footnoteReference w:id="42"/>
      </w:r>
      <w:r w:rsidR="00FC4173" w:rsidRPr="009C7A48">
        <w:rPr>
          <w:sz w:val="22"/>
          <w:szCs w:val="22"/>
        </w:rPr>
        <w:t xml:space="preserve"> Our data </w:t>
      </w:r>
      <w:r w:rsidRPr="009C7A48">
        <w:rPr>
          <w:sz w:val="22"/>
          <w:szCs w:val="22"/>
        </w:rPr>
        <w:t xml:space="preserve">reflects an attention to the suffering of children not widely appreciated in the literature. </w:t>
      </w:r>
    </w:p>
    <w:p w14:paraId="46A5E769" w14:textId="2583878E" w:rsidR="00C414A9" w:rsidRPr="009C7A48" w:rsidRDefault="003962C8" w:rsidP="00BA66B9">
      <w:pPr>
        <w:autoSpaceDE w:val="0"/>
        <w:autoSpaceDN w:val="0"/>
        <w:adjustRightInd w:val="0"/>
        <w:spacing w:line="480" w:lineRule="auto"/>
        <w:rPr>
          <w:sz w:val="22"/>
          <w:szCs w:val="22"/>
        </w:rPr>
      </w:pPr>
      <w:r w:rsidRPr="009C7A48">
        <w:rPr>
          <w:sz w:val="22"/>
          <w:szCs w:val="22"/>
        </w:rPr>
        <w:tab/>
        <w:t xml:space="preserve">Data is also consistent with the criticism that </w:t>
      </w:r>
      <w:r w:rsidR="00E575B3" w:rsidRPr="009C7A48">
        <w:rPr>
          <w:sz w:val="22"/>
          <w:szCs w:val="22"/>
        </w:rPr>
        <w:t>t</w:t>
      </w:r>
      <w:r w:rsidR="00953B2E" w:rsidRPr="009C7A48">
        <w:rPr>
          <w:sz w:val="22"/>
          <w:szCs w:val="22"/>
        </w:rPr>
        <w:t xml:space="preserve">ruth </w:t>
      </w:r>
      <w:r w:rsidR="00E575B3" w:rsidRPr="009C7A48">
        <w:rPr>
          <w:sz w:val="22"/>
          <w:szCs w:val="22"/>
        </w:rPr>
        <w:t>c</w:t>
      </w:r>
      <w:r w:rsidR="00953B2E" w:rsidRPr="009C7A48">
        <w:rPr>
          <w:sz w:val="22"/>
          <w:szCs w:val="22"/>
        </w:rPr>
        <w:t xml:space="preserve">ommissions pay more attention to </w:t>
      </w:r>
      <w:r w:rsidR="006E7E9E" w:rsidRPr="009C7A48">
        <w:rPr>
          <w:sz w:val="22"/>
          <w:szCs w:val="22"/>
        </w:rPr>
        <w:t>bodily harms and rape</w:t>
      </w:r>
      <w:r w:rsidR="00953B2E" w:rsidRPr="009C7A48">
        <w:rPr>
          <w:sz w:val="22"/>
          <w:szCs w:val="22"/>
        </w:rPr>
        <w:t xml:space="preserve"> tha</w:t>
      </w:r>
      <w:r w:rsidR="00B3709B" w:rsidRPr="009C7A48">
        <w:rPr>
          <w:sz w:val="22"/>
          <w:szCs w:val="22"/>
        </w:rPr>
        <w:t xml:space="preserve">n </w:t>
      </w:r>
      <w:r w:rsidR="00953B2E" w:rsidRPr="009C7A48">
        <w:rPr>
          <w:sz w:val="22"/>
          <w:szCs w:val="22"/>
        </w:rPr>
        <w:t>other gender issues</w:t>
      </w:r>
      <w:r w:rsidR="006E7E9E" w:rsidRPr="009C7A48">
        <w:rPr>
          <w:sz w:val="22"/>
          <w:szCs w:val="22"/>
        </w:rPr>
        <w:t>.</w:t>
      </w:r>
      <w:r w:rsidR="00EA5EFE">
        <w:rPr>
          <w:rStyle w:val="FootnoteReference"/>
          <w:sz w:val="22"/>
          <w:szCs w:val="22"/>
        </w:rPr>
        <w:footnoteReference w:id="43"/>
      </w:r>
      <w:r w:rsidR="006E7E9E" w:rsidRPr="009C7A48">
        <w:rPr>
          <w:sz w:val="22"/>
          <w:szCs w:val="22"/>
        </w:rPr>
        <w:t xml:space="preserve"> </w:t>
      </w:r>
      <w:r w:rsidRPr="009C7A48">
        <w:rPr>
          <w:sz w:val="22"/>
          <w:szCs w:val="22"/>
        </w:rPr>
        <w:t xml:space="preserve">Of the 45 gender-attentive TCs, 42 </w:t>
      </w:r>
      <w:r w:rsidR="006E7E9E" w:rsidRPr="009C7A48">
        <w:rPr>
          <w:sz w:val="22"/>
          <w:szCs w:val="22"/>
        </w:rPr>
        <w:t>investigat</w:t>
      </w:r>
      <w:r w:rsidRPr="009C7A48">
        <w:rPr>
          <w:sz w:val="22"/>
          <w:szCs w:val="22"/>
        </w:rPr>
        <w:t>ed</w:t>
      </w:r>
      <w:r w:rsidR="006E7E9E" w:rsidRPr="009C7A48">
        <w:rPr>
          <w:sz w:val="22"/>
          <w:szCs w:val="22"/>
        </w:rPr>
        <w:t xml:space="preserve"> </w:t>
      </w:r>
      <w:r w:rsidR="00BA4FEB">
        <w:rPr>
          <w:sz w:val="22"/>
          <w:szCs w:val="22"/>
        </w:rPr>
        <w:t xml:space="preserve">gender crimes </w:t>
      </w:r>
      <w:r w:rsidR="006E7E9E" w:rsidRPr="009C7A48">
        <w:rPr>
          <w:sz w:val="22"/>
          <w:szCs w:val="22"/>
        </w:rPr>
        <w:t>perpetrated by state officials or armed opposition groups</w:t>
      </w:r>
      <w:r w:rsidR="00E77B8D" w:rsidRPr="009C7A48">
        <w:rPr>
          <w:sz w:val="22"/>
          <w:szCs w:val="22"/>
        </w:rPr>
        <w:t xml:space="preserve">. </w:t>
      </w:r>
      <w:r w:rsidR="00942413" w:rsidRPr="009C7A48">
        <w:rPr>
          <w:sz w:val="22"/>
          <w:szCs w:val="22"/>
        </w:rPr>
        <w:t>B</w:t>
      </w:r>
      <w:r w:rsidR="00C414A9" w:rsidRPr="009C7A48">
        <w:rPr>
          <w:sz w:val="22"/>
          <w:szCs w:val="22"/>
        </w:rPr>
        <w:t xml:space="preserve">eginning </w:t>
      </w:r>
      <w:r w:rsidR="00942413" w:rsidRPr="009C7A48">
        <w:rPr>
          <w:sz w:val="22"/>
          <w:szCs w:val="22"/>
        </w:rPr>
        <w:t>with the adoption of El Salvador’s TC in 1991,</w:t>
      </w:r>
      <w:r w:rsidR="00C414A9" w:rsidRPr="009C7A48">
        <w:rPr>
          <w:sz w:val="22"/>
          <w:szCs w:val="22"/>
        </w:rPr>
        <w:t xml:space="preserve"> </w:t>
      </w:r>
      <w:r w:rsidR="006E7E9E" w:rsidRPr="009C7A48">
        <w:rPr>
          <w:sz w:val="22"/>
          <w:szCs w:val="22"/>
        </w:rPr>
        <w:t>15</w:t>
      </w:r>
      <w:r w:rsidR="00C414A9" w:rsidRPr="009C7A48">
        <w:rPr>
          <w:sz w:val="22"/>
          <w:szCs w:val="22"/>
        </w:rPr>
        <w:t xml:space="preserve"> gender-attentive </w:t>
      </w:r>
      <w:r w:rsidR="006E7E9E" w:rsidRPr="009C7A48">
        <w:rPr>
          <w:sz w:val="22"/>
          <w:szCs w:val="22"/>
        </w:rPr>
        <w:t xml:space="preserve">TCs </w:t>
      </w:r>
      <w:r w:rsidR="00942413" w:rsidRPr="009C7A48">
        <w:rPr>
          <w:sz w:val="22"/>
          <w:szCs w:val="22"/>
        </w:rPr>
        <w:t xml:space="preserve">have </w:t>
      </w:r>
      <w:r w:rsidR="006E7E9E" w:rsidRPr="009C7A48">
        <w:rPr>
          <w:sz w:val="22"/>
          <w:szCs w:val="22"/>
        </w:rPr>
        <w:t xml:space="preserve">issued </w:t>
      </w:r>
      <w:r w:rsidR="00C414A9" w:rsidRPr="009C7A48">
        <w:rPr>
          <w:sz w:val="22"/>
          <w:szCs w:val="22"/>
        </w:rPr>
        <w:t xml:space="preserve">policy </w:t>
      </w:r>
      <w:r w:rsidR="006E7E9E" w:rsidRPr="009C7A48">
        <w:rPr>
          <w:sz w:val="22"/>
          <w:szCs w:val="22"/>
        </w:rPr>
        <w:t xml:space="preserve">recommendations </w:t>
      </w:r>
      <w:r w:rsidR="00C414A9" w:rsidRPr="009C7A48">
        <w:rPr>
          <w:sz w:val="22"/>
          <w:szCs w:val="22"/>
        </w:rPr>
        <w:t>addressing either</w:t>
      </w:r>
      <w:r w:rsidR="006E7E9E" w:rsidRPr="009C7A48">
        <w:rPr>
          <w:sz w:val="22"/>
          <w:szCs w:val="22"/>
        </w:rPr>
        <w:t xml:space="preserve"> sexual violence, gender-based discrimination, or protection of the LGBTQI+ population. </w:t>
      </w:r>
      <w:r w:rsidR="00942413" w:rsidRPr="009C7A48">
        <w:rPr>
          <w:sz w:val="22"/>
          <w:szCs w:val="22"/>
        </w:rPr>
        <w:t xml:space="preserve">Two commissions (Haiti and Liberia) offer recommendations exclusively on sexual </w:t>
      </w:r>
      <w:r w:rsidR="00317DA3" w:rsidRPr="009C7A48">
        <w:rPr>
          <w:sz w:val="22"/>
          <w:szCs w:val="22"/>
        </w:rPr>
        <w:t>violence</w:t>
      </w:r>
      <w:r w:rsidR="00942413" w:rsidRPr="009C7A48">
        <w:rPr>
          <w:sz w:val="22"/>
          <w:szCs w:val="22"/>
        </w:rPr>
        <w:t>, while 12 others (Nigeria, Cote d’Ivoire, Ecuador, Kenya, Sierra Leone, Solomon Islands, Sri Lanka, Timor-Leste, Tunisia, and Zimbabwe) adopt a broader definition of gender-based harms that includes discrimination.</w:t>
      </w:r>
    </w:p>
    <w:p w14:paraId="6DFE3FC4" w14:textId="30E0CFB8" w:rsidR="00937D55" w:rsidRPr="009C7A48" w:rsidRDefault="00307A82" w:rsidP="00BA66B9">
      <w:pPr>
        <w:autoSpaceDE w:val="0"/>
        <w:autoSpaceDN w:val="0"/>
        <w:adjustRightInd w:val="0"/>
        <w:spacing w:line="480" w:lineRule="auto"/>
        <w:ind w:firstLine="720"/>
        <w:rPr>
          <w:sz w:val="22"/>
          <w:szCs w:val="22"/>
        </w:rPr>
      </w:pPr>
      <w:r w:rsidRPr="009C7A48">
        <w:rPr>
          <w:sz w:val="22"/>
          <w:szCs w:val="22"/>
        </w:rPr>
        <w:t xml:space="preserve">This evidence suggests that </w:t>
      </w:r>
      <w:r w:rsidR="006E7E9E" w:rsidRPr="009C7A48">
        <w:rPr>
          <w:sz w:val="22"/>
          <w:szCs w:val="22"/>
        </w:rPr>
        <w:t xml:space="preserve">TCs pay more attention to non-physical gender injustices than either trials or reparations. </w:t>
      </w:r>
      <w:r w:rsidR="0070140B" w:rsidRPr="009C7A48">
        <w:rPr>
          <w:sz w:val="22"/>
          <w:szCs w:val="22"/>
        </w:rPr>
        <w:t>We argue t</w:t>
      </w:r>
      <w:r w:rsidR="006E7E9E" w:rsidRPr="009C7A48">
        <w:rPr>
          <w:sz w:val="22"/>
          <w:szCs w:val="22"/>
        </w:rPr>
        <w:t>his is because TCs often serve several functions: to learn from victims and record their experiences, to investigate patterns of abuse, and to make recommendations to the government about how victims can be “made whole” and future harms prevented. The design of TCs allows them to involve victims – including female and LGBTQI+ victims – in many ways. The long</w:t>
      </w:r>
      <w:r w:rsidR="001B6C97">
        <w:rPr>
          <w:sz w:val="22"/>
          <w:szCs w:val="22"/>
        </w:rPr>
        <w:t>-form report format of TCs gives them the space to examine many types of abuses,</w:t>
      </w:r>
      <w:r w:rsidR="006E7E9E" w:rsidRPr="009C7A48">
        <w:rPr>
          <w:sz w:val="22"/>
          <w:szCs w:val="22"/>
        </w:rPr>
        <w:t xml:space="preserve"> and</w:t>
      </w:r>
      <w:r w:rsidR="00F75878" w:rsidRPr="009C7A48">
        <w:rPr>
          <w:sz w:val="22"/>
          <w:szCs w:val="22"/>
        </w:rPr>
        <w:t>,</w:t>
      </w:r>
      <w:r w:rsidR="006E7E9E" w:rsidRPr="009C7A48">
        <w:rPr>
          <w:sz w:val="22"/>
          <w:szCs w:val="22"/>
        </w:rPr>
        <w:t xml:space="preserve"> </w:t>
      </w:r>
      <w:r w:rsidR="00480685" w:rsidRPr="009C7A48">
        <w:rPr>
          <w:sz w:val="22"/>
          <w:szCs w:val="22"/>
        </w:rPr>
        <w:t>unlike trials and reparations</w:t>
      </w:r>
      <w:r w:rsidR="00F75878" w:rsidRPr="009C7A48">
        <w:rPr>
          <w:sz w:val="22"/>
          <w:szCs w:val="22"/>
        </w:rPr>
        <w:t>,</w:t>
      </w:r>
      <w:r w:rsidR="00480685" w:rsidRPr="009C7A48">
        <w:rPr>
          <w:sz w:val="22"/>
          <w:szCs w:val="22"/>
        </w:rPr>
        <w:t xml:space="preserve"> </w:t>
      </w:r>
      <w:r w:rsidR="006E7E9E" w:rsidRPr="009C7A48">
        <w:rPr>
          <w:sz w:val="22"/>
          <w:szCs w:val="22"/>
        </w:rPr>
        <w:t xml:space="preserve">they are not constrained by having to mount a prosecution or </w:t>
      </w:r>
      <w:r w:rsidR="00235441">
        <w:rPr>
          <w:sz w:val="22"/>
          <w:szCs w:val="22"/>
        </w:rPr>
        <w:t>compensate</w:t>
      </w:r>
      <w:r w:rsidR="00360D6E" w:rsidRPr="009C7A48">
        <w:rPr>
          <w:sz w:val="22"/>
          <w:szCs w:val="22"/>
        </w:rPr>
        <w:t xml:space="preserve"> </w:t>
      </w:r>
      <w:r w:rsidR="006E7E9E" w:rsidRPr="009C7A48">
        <w:rPr>
          <w:sz w:val="22"/>
          <w:szCs w:val="22"/>
        </w:rPr>
        <w:t>victims for specific harms.</w:t>
      </w:r>
    </w:p>
    <w:p w14:paraId="078B8ADA" w14:textId="2162959A" w:rsidR="00066889" w:rsidRPr="009C7A48" w:rsidRDefault="00704F3C" w:rsidP="00BA66B9">
      <w:pPr>
        <w:autoSpaceDE w:val="0"/>
        <w:autoSpaceDN w:val="0"/>
        <w:adjustRightInd w:val="0"/>
        <w:spacing w:line="480" w:lineRule="auto"/>
        <w:ind w:firstLine="720"/>
        <w:rPr>
          <w:sz w:val="22"/>
          <w:szCs w:val="22"/>
        </w:rPr>
      </w:pPr>
      <w:r w:rsidRPr="009C7A48">
        <w:rPr>
          <w:sz w:val="22"/>
          <w:szCs w:val="22"/>
        </w:rPr>
        <w:lastRenderedPageBreak/>
        <w:t xml:space="preserve">Nevertheless, evidence suggests that TCs </w:t>
      </w:r>
      <w:r w:rsidR="009541F3" w:rsidRPr="009C7A48">
        <w:rPr>
          <w:sz w:val="22"/>
          <w:szCs w:val="22"/>
        </w:rPr>
        <w:t>often use</w:t>
      </w:r>
      <w:r w:rsidRPr="009C7A48">
        <w:rPr>
          <w:sz w:val="22"/>
          <w:szCs w:val="22"/>
        </w:rPr>
        <w:t xml:space="preserve"> a narrow interpretation of gendered victims. </w:t>
      </w:r>
      <w:r w:rsidR="001B6C97">
        <w:rPr>
          <w:sz w:val="22"/>
          <w:szCs w:val="22"/>
        </w:rPr>
        <w:t>Through 2020, o</w:t>
      </w:r>
      <w:r w:rsidRPr="009C7A48">
        <w:rPr>
          <w:sz w:val="22"/>
          <w:szCs w:val="22"/>
        </w:rPr>
        <w:t>nly Col</w:t>
      </w:r>
      <w:r w:rsidR="003D2625" w:rsidRPr="009C7A48">
        <w:rPr>
          <w:sz w:val="22"/>
          <w:szCs w:val="22"/>
        </w:rPr>
        <w:t>o</w:t>
      </w:r>
      <w:r w:rsidRPr="009C7A48">
        <w:rPr>
          <w:sz w:val="22"/>
          <w:szCs w:val="22"/>
        </w:rPr>
        <w:t xml:space="preserve">mbia’s </w:t>
      </w:r>
      <w:r w:rsidR="00554A03" w:rsidRPr="009C7A48">
        <w:rPr>
          <w:sz w:val="22"/>
          <w:szCs w:val="22"/>
        </w:rPr>
        <w:t xml:space="preserve">2017 </w:t>
      </w:r>
      <w:r w:rsidRPr="009C7A48">
        <w:rPr>
          <w:sz w:val="22"/>
          <w:szCs w:val="22"/>
        </w:rPr>
        <w:t>TC</w:t>
      </w:r>
      <w:r w:rsidR="00BE4303" w:rsidRPr="009C7A48">
        <w:rPr>
          <w:sz w:val="22"/>
          <w:szCs w:val="22"/>
        </w:rPr>
        <w:t xml:space="preserve"> </w:t>
      </w:r>
      <w:r w:rsidRPr="009C7A48">
        <w:rPr>
          <w:sz w:val="22"/>
          <w:szCs w:val="22"/>
        </w:rPr>
        <w:t xml:space="preserve">issued policy recommendations concerning the protection of </w:t>
      </w:r>
      <w:r w:rsidRPr="009C7A48" w:rsidDel="0005374E">
        <w:rPr>
          <w:sz w:val="22"/>
          <w:szCs w:val="22"/>
        </w:rPr>
        <w:t xml:space="preserve">LGBTQI+ </w:t>
      </w:r>
      <w:r w:rsidRPr="009C7A48">
        <w:rPr>
          <w:sz w:val="22"/>
          <w:szCs w:val="22"/>
        </w:rPr>
        <w:t xml:space="preserve">individuals. </w:t>
      </w:r>
      <w:r w:rsidR="006E7E9E" w:rsidRPr="009C7A48">
        <w:rPr>
          <w:sz w:val="22"/>
          <w:szCs w:val="22"/>
        </w:rPr>
        <w:t xml:space="preserve">Attention to </w:t>
      </w:r>
      <w:r w:rsidR="006C5835" w:rsidRPr="009C7A48">
        <w:rPr>
          <w:sz w:val="22"/>
          <w:szCs w:val="22"/>
        </w:rPr>
        <w:t xml:space="preserve">gender-based violations against </w:t>
      </w:r>
      <w:r w:rsidR="006E7E9E" w:rsidRPr="009C7A48">
        <w:rPr>
          <w:sz w:val="22"/>
          <w:szCs w:val="22"/>
        </w:rPr>
        <w:t xml:space="preserve">men and boys in TCs is almost entirely absent. </w:t>
      </w:r>
      <w:r w:rsidR="00937D55" w:rsidRPr="009C7A48">
        <w:rPr>
          <w:sz w:val="22"/>
          <w:szCs w:val="22"/>
        </w:rPr>
        <w:t>T</w:t>
      </w:r>
      <w:r w:rsidR="006E7E9E" w:rsidRPr="009C7A48">
        <w:rPr>
          <w:sz w:val="22"/>
          <w:szCs w:val="22"/>
        </w:rPr>
        <w:t xml:space="preserve">wo TCs documented instances of sexual violence committed against men by state security forces in their detention facilities. </w:t>
      </w:r>
      <w:r w:rsidR="00141F07" w:rsidRPr="009C7A48">
        <w:rPr>
          <w:sz w:val="22"/>
          <w:szCs w:val="22"/>
        </w:rPr>
        <w:t xml:space="preserve">The 2013 Kenyan TRC </w:t>
      </w:r>
      <w:r w:rsidR="00DA63B3" w:rsidRPr="009C7A48">
        <w:rPr>
          <w:sz w:val="22"/>
          <w:szCs w:val="22"/>
        </w:rPr>
        <w:t>f</w:t>
      </w:r>
      <w:r w:rsidR="00E72CBC">
        <w:rPr>
          <w:sz w:val="22"/>
          <w:szCs w:val="22"/>
        </w:rPr>
        <w:t>ound</w:t>
      </w:r>
      <w:r w:rsidR="00DA63B3" w:rsidRPr="009C7A48">
        <w:rPr>
          <w:sz w:val="22"/>
          <w:szCs w:val="22"/>
        </w:rPr>
        <w:t xml:space="preserve"> that local government officials were responsible for </w:t>
      </w:r>
      <w:r w:rsidR="00D112D1" w:rsidRPr="009C7A48">
        <w:rPr>
          <w:sz w:val="22"/>
          <w:szCs w:val="22"/>
        </w:rPr>
        <w:t xml:space="preserve">a gender-based crime against men, </w:t>
      </w:r>
      <w:r w:rsidR="0093545B" w:rsidRPr="009C7A48">
        <w:rPr>
          <w:sz w:val="22"/>
          <w:szCs w:val="22"/>
        </w:rPr>
        <w:t>noting that “all Somali male adults were rounded and detained at Garissa Primary School where they were screened, tortured</w:t>
      </w:r>
      <w:r w:rsidR="00E72CBC">
        <w:rPr>
          <w:sz w:val="22"/>
          <w:szCs w:val="22"/>
        </w:rPr>
        <w:t>,</w:t>
      </w:r>
      <w:r w:rsidR="0093545B" w:rsidRPr="009C7A48">
        <w:rPr>
          <w:sz w:val="22"/>
          <w:szCs w:val="22"/>
        </w:rPr>
        <w:t xml:space="preserve"> and brutally beaten</w:t>
      </w:r>
      <w:r w:rsidR="00305D5D" w:rsidRPr="009C7A48">
        <w:rPr>
          <w:sz w:val="22"/>
          <w:szCs w:val="22"/>
        </w:rPr>
        <w:t>.”</w:t>
      </w:r>
      <w:r w:rsidR="005E208B" w:rsidRPr="009C7A48">
        <w:rPr>
          <w:rStyle w:val="FootnoteReference"/>
          <w:sz w:val="22"/>
          <w:szCs w:val="22"/>
        </w:rPr>
        <w:footnoteReference w:id="44"/>
      </w:r>
      <w:r w:rsidR="009C4FBC" w:rsidRPr="009C7A48">
        <w:rPr>
          <w:sz w:val="22"/>
          <w:szCs w:val="22"/>
        </w:rPr>
        <w:t xml:space="preserve"> </w:t>
      </w:r>
      <w:r w:rsidR="00240CB0" w:rsidRPr="009C7A48">
        <w:rPr>
          <w:sz w:val="22"/>
          <w:szCs w:val="22"/>
        </w:rPr>
        <w:t>During the Wagalla Massacre,</w:t>
      </w:r>
      <w:r w:rsidR="00165720" w:rsidRPr="009C7A48">
        <w:rPr>
          <w:sz w:val="22"/>
          <w:szCs w:val="22"/>
        </w:rPr>
        <w:t xml:space="preserve"> also recorded by the Kenyan TRC,</w:t>
      </w:r>
      <w:r w:rsidR="00240CB0" w:rsidRPr="009C7A48">
        <w:rPr>
          <w:sz w:val="22"/>
          <w:szCs w:val="22"/>
        </w:rPr>
        <w:t xml:space="preserve"> male members of the </w:t>
      </w:r>
      <w:r w:rsidR="00FF213A" w:rsidRPr="009C7A48">
        <w:rPr>
          <w:sz w:val="22"/>
          <w:szCs w:val="22"/>
        </w:rPr>
        <w:t>Degodia</w:t>
      </w:r>
      <w:r w:rsidR="00240CB0" w:rsidRPr="009C7A48">
        <w:rPr>
          <w:sz w:val="22"/>
          <w:szCs w:val="22"/>
        </w:rPr>
        <w:t xml:space="preserve"> tribe were </w:t>
      </w:r>
      <w:r w:rsidR="00A75B84" w:rsidRPr="009C7A48">
        <w:rPr>
          <w:sz w:val="22"/>
          <w:szCs w:val="22"/>
        </w:rPr>
        <w:t>detained, tortured, and killed.</w:t>
      </w:r>
      <w:r w:rsidR="008F2DB6" w:rsidRPr="009C7A48">
        <w:rPr>
          <w:sz w:val="22"/>
          <w:szCs w:val="22"/>
        </w:rPr>
        <w:t xml:space="preserve"> </w:t>
      </w:r>
      <w:r w:rsidR="006E7E9E" w:rsidRPr="009C7A48">
        <w:rPr>
          <w:sz w:val="22"/>
          <w:szCs w:val="22"/>
        </w:rPr>
        <w:t xml:space="preserve">We have not found any recommendations </w:t>
      </w:r>
      <w:r w:rsidR="008708DA" w:rsidRPr="009C7A48">
        <w:rPr>
          <w:sz w:val="22"/>
          <w:szCs w:val="22"/>
        </w:rPr>
        <w:t xml:space="preserve">advanced </w:t>
      </w:r>
      <w:r w:rsidR="006E7E9E" w:rsidRPr="009C7A48">
        <w:rPr>
          <w:sz w:val="22"/>
          <w:szCs w:val="22"/>
        </w:rPr>
        <w:t>by these TCs to prevent such egregious practices from recurring.</w:t>
      </w:r>
    </w:p>
    <w:p w14:paraId="70D61976" w14:textId="4799FF94" w:rsidR="00A272D0" w:rsidRPr="009C7A48" w:rsidRDefault="001E5D71" w:rsidP="00AC2000">
      <w:pPr>
        <w:autoSpaceDE w:val="0"/>
        <w:autoSpaceDN w:val="0"/>
        <w:adjustRightInd w:val="0"/>
        <w:spacing w:line="480" w:lineRule="auto"/>
        <w:ind w:firstLine="720"/>
        <w:rPr>
          <w:sz w:val="22"/>
          <w:szCs w:val="22"/>
        </w:rPr>
      </w:pPr>
      <w:r w:rsidRPr="009C7A48">
        <w:rPr>
          <w:sz w:val="22"/>
          <w:szCs w:val="22"/>
        </w:rPr>
        <w:t>S</w:t>
      </w:r>
      <w:r w:rsidR="006E7E9E" w:rsidRPr="009C7A48">
        <w:rPr>
          <w:sz w:val="22"/>
          <w:szCs w:val="22"/>
        </w:rPr>
        <w:t>ix TCs examined the phenomenon of violence against sexual minorities (Brazil, Colombia, Ecuador, Paraguay, Peru, and South Africa)</w:t>
      </w:r>
      <w:r w:rsidRPr="009C7A48">
        <w:rPr>
          <w:sz w:val="22"/>
          <w:szCs w:val="22"/>
        </w:rPr>
        <w:t>. F</w:t>
      </w:r>
      <w:r w:rsidR="006E7E9E" w:rsidRPr="009C7A48">
        <w:rPr>
          <w:sz w:val="22"/>
          <w:szCs w:val="22"/>
        </w:rPr>
        <w:t xml:space="preserve">our of </w:t>
      </w:r>
      <w:r w:rsidR="00E72CBC">
        <w:rPr>
          <w:sz w:val="22"/>
          <w:szCs w:val="22"/>
        </w:rPr>
        <w:t>those</w:t>
      </w:r>
      <w:r w:rsidR="006E7E9E" w:rsidRPr="009C7A48">
        <w:rPr>
          <w:sz w:val="22"/>
          <w:szCs w:val="22"/>
        </w:rPr>
        <w:t xml:space="preserve"> (Brazil, Colombia, Ecuador, and Peru) had a dedicated gender-focused team to investigate gender related issues.  Even having a gender</w:t>
      </w:r>
      <w:r w:rsidR="00CC4038" w:rsidRPr="009C7A48">
        <w:rPr>
          <w:sz w:val="22"/>
          <w:szCs w:val="22"/>
        </w:rPr>
        <w:t>-</w:t>
      </w:r>
      <w:r w:rsidR="006E7E9E" w:rsidRPr="009C7A48">
        <w:rPr>
          <w:sz w:val="22"/>
          <w:szCs w:val="22"/>
        </w:rPr>
        <w:t>focused team did not necessarily lead to coverage of violence against the LGBTQI+ population. The Brazilian and Colombian TCs’ final reports includ</w:t>
      </w:r>
      <w:r w:rsidR="007B630D" w:rsidRPr="009C7A48">
        <w:rPr>
          <w:sz w:val="22"/>
          <w:szCs w:val="22"/>
        </w:rPr>
        <w:t>e</w:t>
      </w:r>
      <w:r w:rsidR="006E7E9E" w:rsidRPr="009C7A48">
        <w:rPr>
          <w:sz w:val="22"/>
          <w:szCs w:val="22"/>
        </w:rPr>
        <w:t xml:space="preserve"> chapter</w:t>
      </w:r>
      <w:r w:rsidR="007B630D" w:rsidRPr="009C7A48">
        <w:rPr>
          <w:sz w:val="22"/>
          <w:szCs w:val="22"/>
        </w:rPr>
        <w:t>s</w:t>
      </w:r>
      <w:r w:rsidR="006E7E9E" w:rsidRPr="009C7A48">
        <w:rPr>
          <w:sz w:val="22"/>
          <w:szCs w:val="22"/>
        </w:rPr>
        <w:t xml:space="preserve"> </w:t>
      </w:r>
      <w:r w:rsidR="007B630D" w:rsidRPr="009C7A48">
        <w:rPr>
          <w:sz w:val="22"/>
          <w:szCs w:val="22"/>
        </w:rPr>
        <w:t>on</w:t>
      </w:r>
      <w:r w:rsidR="006E7E9E" w:rsidRPr="009C7A48">
        <w:rPr>
          <w:sz w:val="22"/>
          <w:szCs w:val="22"/>
        </w:rPr>
        <w:t xml:space="preserve"> violence against LGBTQI+ individuals and </w:t>
      </w:r>
      <w:r w:rsidR="007B630D" w:rsidRPr="009C7A48">
        <w:rPr>
          <w:sz w:val="22"/>
          <w:szCs w:val="22"/>
        </w:rPr>
        <w:t xml:space="preserve">issue policy </w:t>
      </w:r>
      <w:r w:rsidR="006E7E9E" w:rsidRPr="009C7A48">
        <w:rPr>
          <w:sz w:val="22"/>
          <w:szCs w:val="22"/>
        </w:rPr>
        <w:t>recommendations redress</w:t>
      </w:r>
      <w:r w:rsidR="007B630D" w:rsidRPr="009C7A48">
        <w:rPr>
          <w:sz w:val="22"/>
          <w:szCs w:val="22"/>
        </w:rPr>
        <w:t>ing these crimes.</w:t>
      </w:r>
      <w:r w:rsidR="006E7E9E" w:rsidRPr="009C7A48">
        <w:rPr>
          <w:sz w:val="22"/>
          <w:szCs w:val="22"/>
        </w:rPr>
        <w:t xml:space="preserve"> </w:t>
      </w:r>
      <w:r w:rsidR="007B630D" w:rsidRPr="009C7A48">
        <w:rPr>
          <w:sz w:val="22"/>
          <w:szCs w:val="22"/>
        </w:rPr>
        <w:t>In contrast, the</w:t>
      </w:r>
      <w:r w:rsidR="006E7E9E" w:rsidRPr="009C7A48">
        <w:rPr>
          <w:sz w:val="22"/>
          <w:szCs w:val="22"/>
        </w:rPr>
        <w:t xml:space="preserve"> Ecuadorean and Peruvian TCs limited their examination to a few representative cases, with narratives that were disconnected from the overall analysis of gender. Verhelst concluded that “while there might be well-intentioned approaches and efforts to tell the stories of LGBTQI+ individuals, the reality is that for the most part, the final reports of truth commissions provide limited space for their experiences to be told to the public.”</w:t>
      </w:r>
      <w:r w:rsidR="006E7E9E" w:rsidRPr="009C7A48">
        <w:rPr>
          <w:rStyle w:val="FootnoteReference"/>
          <w:sz w:val="22"/>
          <w:szCs w:val="22"/>
        </w:rPr>
        <w:footnoteReference w:id="45"/>
      </w:r>
      <w:r w:rsidR="00066889" w:rsidRPr="009C7A48">
        <w:rPr>
          <w:sz w:val="22"/>
          <w:szCs w:val="22"/>
        </w:rPr>
        <w:t xml:space="preserve"> This claim is borne out in the data. </w:t>
      </w:r>
    </w:p>
    <w:p w14:paraId="0825AF86" w14:textId="33C8DF4D" w:rsidR="0068483D" w:rsidRPr="009C7A48" w:rsidRDefault="003B2287" w:rsidP="00526055">
      <w:pPr>
        <w:autoSpaceDE w:val="0"/>
        <w:autoSpaceDN w:val="0"/>
        <w:adjustRightInd w:val="0"/>
        <w:spacing w:line="480" w:lineRule="auto"/>
        <w:rPr>
          <w:iCs/>
          <w:sz w:val="22"/>
          <w:szCs w:val="22"/>
          <w:lang w:val="en-GB"/>
        </w:rPr>
      </w:pPr>
      <w:r w:rsidRPr="009C7A48">
        <w:rPr>
          <w:sz w:val="22"/>
          <w:szCs w:val="22"/>
        </w:rPr>
        <w:lastRenderedPageBreak/>
        <w:tab/>
        <w:t xml:space="preserve">Like the </w:t>
      </w:r>
      <w:r w:rsidR="002F17CB" w:rsidRPr="009C7A48">
        <w:rPr>
          <w:sz w:val="22"/>
          <w:szCs w:val="22"/>
        </w:rPr>
        <w:t>trials and truth commissions</w:t>
      </w:r>
      <w:r w:rsidRPr="009C7A48">
        <w:rPr>
          <w:sz w:val="22"/>
          <w:szCs w:val="22"/>
        </w:rPr>
        <w:t xml:space="preserve"> mechanisms, there is consistent evidence that gender-attentive reparations focus </w:t>
      </w:r>
      <w:r w:rsidR="007B5FB1" w:rsidRPr="009C7A48">
        <w:rPr>
          <w:sz w:val="22"/>
          <w:szCs w:val="22"/>
        </w:rPr>
        <w:t xml:space="preserve">overwhelmingly </w:t>
      </w:r>
      <w:r w:rsidRPr="009C7A48">
        <w:rPr>
          <w:sz w:val="22"/>
          <w:szCs w:val="22"/>
        </w:rPr>
        <w:t xml:space="preserve">on </w:t>
      </w:r>
      <w:r w:rsidR="001F0E6D" w:rsidRPr="009C7A48">
        <w:rPr>
          <w:sz w:val="22"/>
          <w:szCs w:val="22"/>
        </w:rPr>
        <w:t>providing reparations for</w:t>
      </w:r>
      <w:r w:rsidRPr="009C7A48">
        <w:rPr>
          <w:sz w:val="22"/>
          <w:szCs w:val="22"/>
        </w:rPr>
        <w:t xml:space="preserve"> bodily harms suffered by women. </w:t>
      </w:r>
      <w:r w:rsidR="00D42118" w:rsidRPr="009C7A48">
        <w:rPr>
          <w:sz w:val="22"/>
          <w:szCs w:val="22"/>
        </w:rPr>
        <w:t xml:space="preserve">20 (93.2%) of 21 gender-attentive policies </w:t>
      </w:r>
      <w:r w:rsidR="00827FE1" w:rsidRPr="009C7A48">
        <w:rPr>
          <w:sz w:val="22"/>
          <w:szCs w:val="22"/>
        </w:rPr>
        <w:t>give reparations</w:t>
      </w:r>
      <w:r w:rsidR="00D42118" w:rsidRPr="009C7A48">
        <w:rPr>
          <w:sz w:val="22"/>
          <w:szCs w:val="22"/>
        </w:rPr>
        <w:t xml:space="preserve"> for </w:t>
      </w:r>
      <w:r w:rsidR="0068483D" w:rsidRPr="009C7A48">
        <w:rPr>
          <w:sz w:val="22"/>
          <w:szCs w:val="22"/>
        </w:rPr>
        <w:t>sexual violence</w:t>
      </w:r>
      <w:r w:rsidR="00DE7A52" w:rsidRPr="009C7A48">
        <w:rPr>
          <w:sz w:val="22"/>
          <w:szCs w:val="22"/>
        </w:rPr>
        <w:t xml:space="preserve">. All of these policies provide reparations for </w:t>
      </w:r>
      <w:r w:rsidR="0068483D" w:rsidRPr="009C7A48">
        <w:rPr>
          <w:sz w:val="22"/>
          <w:szCs w:val="22"/>
        </w:rPr>
        <w:t xml:space="preserve">rape, </w:t>
      </w:r>
      <w:r w:rsidR="00DE7A52" w:rsidRPr="009C7A48">
        <w:rPr>
          <w:sz w:val="22"/>
          <w:szCs w:val="22"/>
        </w:rPr>
        <w:t xml:space="preserve">while half of them </w:t>
      </w:r>
      <w:r w:rsidR="0004682F" w:rsidRPr="009C7A48">
        <w:rPr>
          <w:sz w:val="22"/>
          <w:szCs w:val="22"/>
        </w:rPr>
        <w:t xml:space="preserve">also </w:t>
      </w:r>
      <w:r w:rsidR="00DE7A52" w:rsidRPr="009C7A48">
        <w:rPr>
          <w:sz w:val="22"/>
          <w:szCs w:val="22"/>
        </w:rPr>
        <w:t xml:space="preserve">provide reparations for other types of sexual violence, </w:t>
      </w:r>
      <w:r w:rsidR="00DE7A52" w:rsidRPr="009C7A48">
        <w:rPr>
          <w:iCs/>
          <w:sz w:val="22"/>
          <w:szCs w:val="22"/>
          <w:lang w:val="en-GB"/>
        </w:rPr>
        <w:t xml:space="preserve">such as </w:t>
      </w:r>
      <w:r w:rsidR="0068483D" w:rsidRPr="009C7A48">
        <w:rPr>
          <w:iCs/>
          <w:sz w:val="22"/>
          <w:szCs w:val="22"/>
          <w:lang w:val="en-GB"/>
        </w:rPr>
        <w:t xml:space="preserve">sexual slavery, enforced prostitution, forced pregnancy, </w:t>
      </w:r>
      <w:r w:rsidR="00DE7A52" w:rsidRPr="009C7A48">
        <w:rPr>
          <w:iCs/>
          <w:sz w:val="22"/>
          <w:szCs w:val="22"/>
          <w:lang w:val="en-GB"/>
        </w:rPr>
        <w:t xml:space="preserve">and </w:t>
      </w:r>
      <w:r w:rsidR="0068483D" w:rsidRPr="009C7A48">
        <w:rPr>
          <w:iCs/>
          <w:sz w:val="22"/>
          <w:szCs w:val="22"/>
          <w:lang w:val="en-GB"/>
        </w:rPr>
        <w:t>enforced sterilization</w:t>
      </w:r>
      <w:r w:rsidR="00056F74" w:rsidRPr="009C7A48">
        <w:rPr>
          <w:iCs/>
          <w:sz w:val="22"/>
          <w:szCs w:val="22"/>
          <w:lang w:val="en-GB"/>
        </w:rPr>
        <w:t xml:space="preserve">, suggesting more attention is </w:t>
      </w:r>
      <w:r w:rsidR="00056F74" w:rsidRPr="009C7A48">
        <w:rPr>
          <w:sz w:val="22"/>
          <w:szCs w:val="22"/>
        </w:rPr>
        <w:t>paid to rape than to any other form of gender harm.</w:t>
      </w:r>
      <w:r w:rsidR="00DE7A52" w:rsidRPr="009C7A48">
        <w:rPr>
          <w:iCs/>
          <w:sz w:val="22"/>
          <w:szCs w:val="22"/>
          <w:lang w:val="en-GB"/>
        </w:rPr>
        <w:t xml:space="preserve"> </w:t>
      </w:r>
    </w:p>
    <w:p w14:paraId="5A0936DD" w14:textId="46BA6AB5" w:rsidR="00603650" w:rsidRPr="009C7A48" w:rsidRDefault="00EC5B53" w:rsidP="00526055">
      <w:pPr>
        <w:spacing w:line="480" w:lineRule="auto"/>
        <w:ind w:firstLine="720"/>
        <w:rPr>
          <w:sz w:val="22"/>
          <w:szCs w:val="22"/>
        </w:rPr>
      </w:pPr>
      <w:r w:rsidRPr="009C7A48">
        <w:rPr>
          <w:sz w:val="22"/>
          <w:szCs w:val="22"/>
        </w:rPr>
        <w:t>Few policies deal with gender-based crimes against other populations. Among the set of reparations policies implemented in transitional contexts, only</w:t>
      </w:r>
      <w:r w:rsidR="007D5417" w:rsidRPr="009C7A48">
        <w:rPr>
          <w:sz w:val="22"/>
          <w:szCs w:val="22"/>
        </w:rPr>
        <w:t xml:space="preserve"> three </w:t>
      </w:r>
      <w:r w:rsidR="009C2924" w:rsidRPr="009C7A48">
        <w:rPr>
          <w:sz w:val="22"/>
          <w:szCs w:val="22"/>
        </w:rPr>
        <w:t>explicitly refer to men and boys a</w:t>
      </w:r>
      <w:r w:rsidR="0071025E" w:rsidRPr="009C7A48">
        <w:rPr>
          <w:sz w:val="22"/>
          <w:szCs w:val="22"/>
        </w:rPr>
        <w:t>s</w:t>
      </w:r>
      <w:r w:rsidR="009C2924" w:rsidRPr="009C7A48">
        <w:rPr>
          <w:sz w:val="22"/>
          <w:szCs w:val="22"/>
        </w:rPr>
        <w:t xml:space="preserve"> potential recipients of reparations for sexual </w:t>
      </w:r>
      <w:r w:rsidR="0063603B" w:rsidRPr="009C7A48">
        <w:rPr>
          <w:sz w:val="22"/>
          <w:szCs w:val="22"/>
        </w:rPr>
        <w:t>and</w:t>
      </w:r>
      <w:r w:rsidR="00731D95" w:rsidRPr="009C7A48">
        <w:rPr>
          <w:sz w:val="22"/>
          <w:szCs w:val="22"/>
        </w:rPr>
        <w:t xml:space="preserve"> gender-based crimes</w:t>
      </w:r>
      <w:r w:rsidR="00F84C7F" w:rsidRPr="009C7A48">
        <w:rPr>
          <w:sz w:val="22"/>
          <w:szCs w:val="22"/>
        </w:rPr>
        <w:t>: Sierra Leone</w:t>
      </w:r>
      <w:r w:rsidR="00AB5DC1" w:rsidRPr="009C7A48">
        <w:rPr>
          <w:sz w:val="22"/>
          <w:szCs w:val="22"/>
        </w:rPr>
        <w:t xml:space="preserve"> (2004)</w:t>
      </w:r>
      <w:r w:rsidR="00F84C7F" w:rsidRPr="009C7A48">
        <w:rPr>
          <w:sz w:val="22"/>
          <w:szCs w:val="22"/>
        </w:rPr>
        <w:t>,</w:t>
      </w:r>
      <w:r w:rsidR="00AB5DC1" w:rsidRPr="009C7A48">
        <w:rPr>
          <w:sz w:val="22"/>
          <w:szCs w:val="22"/>
        </w:rPr>
        <w:t xml:space="preserve"> Ghana (2004), and</w:t>
      </w:r>
      <w:r w:rsidR="00F84C7F" w:rsidRPr="009C7A48">
        <w:rPr>
          <w:sz w:val="22"/>
          <w:szCs w:val="22"/>
        </w:rPr>
        <w:t xml:space="preserve"> Kenya</w:t>
      </w:r>
      <w:r w:rsidR="00AB5DC1" w:rsidRPr="009C7A48">
        <w:rPr>
          <w:sz w:val="22"/>
          <w:szCs w:val="22"/>
        </w:rPr>
        <w:t xml:space="preserve"> (2013</w:t>
      </w:r>
      <w:r w:rsidR="000F233F" w:rsidRPr="009C7A48">
        <w:rPr>
          <w:sz w:val="22"/>
          <w:szCs w:val="22"/>
        </w:rPr>
        <w:t>)</w:t>
      </w:r>
      <w:r w:rsidR="00F84C7F" w:rsidRPr="009C7A48">
        <w:rPr>
          <w:sz w:val="22"/>
          <w:szCs w:val="22"/>
        </w:rPr>
        <w:t>.</w:t>
      </w:r>
      <w:r w:rsidR="00207456" w:rsidRPr="009C7A48">
        <w:rPr>
          <w:sz w:val="22"/>
          <w:szCs w:val="22"/>
        </w:rPr>
        <w:t xml:space="preserve"> </w:t>
      </w:r>
      <w:r w:rsidR="00332B2E" w:rsidRPr="009C7A48">
        <w:rPr>
          <w:sz w:val="22"/>
          <w:szCs w:val="22"/>
        </w:rPr>
        <w:t>In addition, s</w:t>
      </w:r>
      <w:r w:rsidR="00207456" w:rsidRPr="009C7A48">
        <w:rPr>
          <w:sz w:val="22"/>
          <w:szCs w:val="22"/>
        </w:rPr>
        <w:t>ix policies gave reparations for forced child recruitment (</w:t>
      </w:r>
      <w:r w:rsidR="007C468F" w:rsidRPr="009C7A48">
        <w:rPr>
          <w:sz w:val="22"/>
          <w:szCs w:val="22"/>
        </w:rPr>
        <w:t>Colombia’s two policies,</w:t>
      </w:r>
      <w:r w:rsidR="00FE29FA" w:rsidRPr="009C7A48">
        <w:rPr>
          <w:sz w:val="22"/>
          <w:szCs w:val="22"/>
        </w:rPr>
        <w:t xml:space="preserve"> Guatemala,</w:t>
      </w:r>
      <w:r w:rsidR="00F85803" w:rsidRPr="009C7A48">
        <w:rPr>
          <w:sz w:val="22"/>
          <w:szCs w:val="22"/>
        </w:rPr>
        <w:t xml:space="preserve"> Peru,</w:t>
      </w:r>
      <w:r w:rsidR="00207456" w:rsidRPr="009C7A48">
        <w:rPr>
          <w:sz w:val="22"/>
          <w:szCs w:val="22"/>
        </w:rPr>
        <w:t xml:space="preserve"> Sierra Leone</w:t>
      </w:r>
      <w:r w:rsidR="00E22969" w:rsidRPr="009C7A48">
        <w:rPr>
          <w:sz w:val="22"/>
          <w:szCs w:val="22"/>
        </w:rPr>
        <w:t>, and Sri Lanka</w:t>
      </w:r>
      <w:r w:rsidR="00207456" w:rsidRPr="009C7A48">
        <w:rPr>
          <w:sz w:val="22"/>
          <w:szCs w:val="22"/>
        </w:rPr>
        <w:t>)</w:t>
      </w:r>
      <w:r w:rsidR="008A15B9" w:rsidRPr="009C7A48">
        <w:rPr>
          <w:sz w:val="22"/>
          <w:szCs w:val="22"/>
        </w:rPr>
        <w:t xml:space="preserve">, a harm that </w:t>
      </w:r>
      <w:r w:rsidR="00A62E69" w:rsidRPr="009C7A48">
        <w:rPr>
          <w:sz w:val="22"/>
          <w:szCs w:val="22"/>
        </w:rPr>
        <w:t>disproportionately affects boys.</w:t>
      </w:r>
      <w:r w:rsidR="00207456" w:rsidRPr="009C7A48">
        <w:rPr>
          <w:rStyle w:val="FootnoteReference"/>
          <w:sz w:val="22"/>
          <w:szCs w:val="22"/>
        </w:rPr>
        <w:footnoteReference w:id="46"/>
      </w:r>
      <w:r w:rsidR="00207456" w:rsidRPr="009C7A48">
        <w:rPr>
          <w:sz w:val="22"/>
          <w:szCs w:val="22"/>
        </w:rPr>
        <w:t xml:space="preserve"> </w:t>
      </w:r>
      <w:r w:rsidRPr="009C7A48">
        <w:rPr>
          <w:sz w:val="22"/>
          <w:szCs w:val="22"/>
        </w:rPr>
        <w:t xml:space="preserve"> </w:t>
      </w:r>
      <w:r w:rsidR="00A7741E" w:rsidRPr="009C7A48">
        <w:rPr>
          <w:sz w:val="22"/>
          <w:szCs w:val="22"/>
        </w:rPr>
        <w:t xml:space="preserve">Only </w:t>
      </w:r>
      <w:r w:rsidRPr="009C7A48">
        <w:rPr>
          <w:sz w:val="22"/>
          <w:szCs w:val="22"/>
        </w:rPr>
        <w:t>Spain</w:t>
      </w:r>
      <w:r w:rsidR="00A7741E" w:rsidRPr="009C7A48">
        <w:rPr>
          <w:sz w:val="22"/>
          <w:szCs w:val="22"/>
        </w:rPr>
        <w:t xml:space="preserve">’s </w:t>
      </w:r>
      <w:r w:rsidR="00B5767B" w:rsidRPr="009C7A48">
        <w:rPr>
          <w:sz w:val="22"/>
          <w:szCs w:val="22"/>
        </w:rPr>
        <w:t>2004 policy</w:t>
      </w:r>
      <w:r w:rsidRPr="009C7A48">
        <w:rPr>
          <w:sz w:val="22"/>
          <w:szCs w:val="22"/>
        </w:rPr>
        <w:t xml:space="preserve"> explicitly </w:t>
      </w:r>
      <w:r w:rsidR="00A664CC" w:rsidRPr="009C7A48">
        <w:rPr>
          <w:sz w:val="22"/>
          <w:szCs w:val="22"/>
        </w:rPr>
        <w:t xml:space="preserve">gives reparations </w:t>
      </w:r>
      <w:r w:rsidRPr="009C7A48">
        <w:rPr>
          <w:sz w:val="22"/>
          <w:szCs w:val="22"/>
        </w:rPr>
        <w:t>for crimes against LGBTQ</w:t>
      </w:r>
      <w:r w:rsidR="005D66D5" w:rsidRPr="009C7A48">
        <w:rPr>
          <w:sz w:val="22"/>
          <w:szCs w:val="22"/>
        </w:rPr>
        <w:t>I</w:t>
      </w:r>
      <w:r w:rsidRPr="009C7A48">
        <w:rPr>
          <w:sz w:val="22"/>
          <w:szCs w:val="22"/>
        </w:rPr>
        <w:t>+ victims</w:t>
      </w:r>
      <w:r w:rsidR="00603650" w:rsidRPr="009C7A48">
        <w:rPr>
          <w:sz w:val="22"/>
          <w:szCs w:val="22"/>
        </w:rPr>
        <w:t>.</w:t>
      </w:r>
    </w:p>
    <w:p w14:paraId="4E9C2F6D" w14:textId="119E0762" w:rsidR="00862B5A" w:rsidRPr="009C7A48" w:rsidRDefault="001E5D71" w:rsidP="00526055">
      <w:pPr>
        <w:autoSpaceDE w:val="0"/>
        <w:autoSpaceDN w:val="0"/>
        <w:adjustRightInd w:val="0"/>
        <w:spacing w:line="480" w:lineRule="auto"/>
        <w:ind w:firstLine="720"/>
        <w:rPr>
          <w:sz w:val="22"/>
          <w:szCs w:val="22"/>
        </w:rPr>
      </w:pPr>
      <w:r w:rsidRPr="009C7A48">
        <w:rPr>
          <w:sz w:val="22"/>
          <w:szCs w:val="22"/>
        </w:rPr>
        <w:t>S</w:t>
      </w:r>
      <w:r w:rsidR="006D7F6D" w:rsidRPr="009C7A48">
        <w:rPr>
          <w:sz w:val="22"/>
          <w:szCs w:val="22"/>
        </w:rPr>
        <w:t xml:space="preserve">ome </w:t>
      </w:r>
      <w:r w:rsidR="000028F5" w:rsidRPr="009C7A48">
        <w:rPr>
          <w:sz w:val="22"/>
          <w:szCs w:val="22"/>
        </w:rPr>
        <w:t>r</w:t>
      </w:r>
      <w:r w:rsidR="00DE0192" w:rsidRPr="009C7A48">
        <w:rPr>
          <w:sz w:val="22"/>
          <w:szCs w:val="22"/>
        </w:rPr>
        <w:t xml:space="preserve">eparations policies pay attention to children as victims of </w:t>
      </w:r>
      <w:r w:rsidR="00ED7684" w:rsidRPr="009C7A48">
        <w:rPr>
          <w:sz w:val="22"/>
          <w:szCs w:val="22"/>
        </w:rPr>
        <w:t>sexual violence</w:t>
      </w:r>
      <w:r w:rsidR="001A0C5B" w:rsidRPr="009C7A48">
        <w:rPr>
          <w:sz w:val="22"/>
          <w:szCs w:val="22"/>
        </w:rPr>
        <w:t xml:space="preserve">. </w:t>
      </w:r>
      <w:r w:rsidR="00862B5A" w:rsidRPr="009C7A48">
        <w:rPr>
          <w:sz w:val="22"/>
          <w:szCs w:val="22"/>
        </w:rPr>
        <w:t>Sierra Leone’s 2004 policy recognizes children born out of an act of sexual violence (and whose mother is single) as victims eligible for reparations in their own right.</w:t>
      </w:r>
      <w:r w:rsidR="00862B5A" w:rsidRPr="009C7A48">
        <w:rPr>
          <w:rStyle w:val="FootnoteReference"/>
          <w:sz w:val="22"/>
          <w:szCs w:val="22"/>
        </w:rPr>
        <w:footnoteReference w:id="47"/>
      </w:r>
      <w:r w:rsidR="00862B5A" w:rsidRPr="009C7A48">
        <w:rPr>
          <w:sz w:val="22"/>
          <w:szCs w:val="22"/>
        </w:rPr>
        <w:t xml:space="preserve"> Rwanda’s 2008 law provides reparations to children with incurable diseases or any disabilities inflicted during the genocide.</w:t>
      </w:r>
      <w:r w:rsidR="00862B5A" w:rsidRPr="009C7A48">
        <w:rPr>
          <w:rStyle w:val="FootnoteReference"/>
          <w:sz w:val="22"/>
          <w:szCs w:val="22"/>
        </w:rPr>
        <w:footnoteReference w:id="48"/>
      </w:r>
      <w:r w:rsidR="00862B5A" w:rsidRPr="009C7A48">
        <w:rPr>
          <w:sz w:val="22"/>
          <w:szCs w:val="22"/>
        </w:rPr>
        <w:t xml:space="preserve"> Most recently, Mali’s 2022 </w:t>
      </w:r>
      <w:r w:rsidR="00862B5A" w:rsidRPr="009C7A48">
        <w:rPr>
          <w:sz w:val="22"/>
          <w:szCs w:val="22"/>
        </w:rPr>
        <w:lastRenderedPageBreak/>
        <w:t>reparations policy pays special attention to vulnerable victims, provid</w:t>
      </w:r>
      <w:r w:rsidR="00D81492" w:rsidRPr="009C7A48">
        <w:rPr>
          <w:sz w:val="22"/>
          <w:szCs w:val="22"/>
        </w:rPr>
        <w:t>ing</w:t>
      </w:r>
      <w:r w:rsidR="00862B5A" w:rsidRPr="009C7A48">
        <w:rPr>
          <w:sz w:val="22"/>
          <w:szCs w:val="22"/>
        </w:rPr>
        <w:t xml:space="preserve"> children born of conflict-related rapes and their mothers administrative, legal, and social support services.</w:t>
      </w:r>
      <w:r w:rsidR="00862B5A" w:rsidRPr="009C7A48">
        <w:rPr>
          <w:rStyle w:val="FootnoteReference"/>
          <w:sz w:val="22"/>
          <w:szCs w:val="22"/>
        </w:rPr>
        <w:footnoteReference w:id="49"/>
      </w:r>
    </w:p>
    <w:p w14:paraId="443114A9" w14:textId="6FF504DD" w:rsidR="00E503DE" w:rsidRPr="009C7A48" w:rsidRDefault="00886AED" w:rsidP="00526055">
      <w:pPr>
        <w:spacing w:line="480" w:lineRule="auto"/>
        <w:ind w:firstLine="720"/>
        <w:rPr>
          <w:sz w:val="22"/>
          <w:szCs w:val="22"/>
        </w:rPr>
      </w:pPr>
      <w:r w:rsidRPr="009C7A48">
        <w:rPr>
          <w:sz w:val="22"/>
          <w:szCs w:val="22"/>
        </w:rPr>
        <w:t xml:space="preserve">Morocco’s </w:t>
      </w:r>
      <w:r w:rsidR="00862B5A" w:rsidRPr="009C7A48">
        <w:rPr>
          <w:sz w:val="22"/>
          <w:szCs w:val="22"/>
        </w:rPr>
        <w:t>2004 reparations policy deserves special notice for its early attention to gender, and its innovative method of recognizing the gendered impact of violations on women</w:t>
      </w:r>
      <w:r w:rsidR="00A76EEA" w:rsidRPr="009C7A48">
        <w:rPr>
          <w:sz w:val="22"/>
          <w:szCs w:val="22"/>
        </w:rPr>
        <w:t>.</w:t>
      </w:r>
      <w:r w:rsidR="00937D55" w:rsidRPr="009C7A48">
        <w:rPr>
          <w:sz w:val="22"/>
          <w:szCs w:val="22"/>
        </w:rPr>
        <w:t xml:space="preserve"> </w:t>
      </w:r>
      <w:r w:rsidR="004B57DB" w:rsidRPr="009C7A48">
        <w:rPr>
          <w:sz w:val="22"/>
          <w:szCs w:val="22"/>
        </w:rPr>
        <w:t>In recognition of</w:t>
      </w:r>
      <w:r w:rsidR="00C96C7B" w:rsidRPr="009C7A48">
        <w:rPr>
          <w:sz w:val="22"/>
          <w:szCs w:val="22"/>
        </w:rPr>
        <w:t xml:space="preserve"> </w:t>
      </w:r>
      <w:r w:rsidR="001C7BA3" w:rsidRPr="009C7A48">
        <w:rPr>
          <w:sz w:val="22"/>
          <w:szCs w:val="22"/>
        </w:rPr>
        <w:t xml:space="preserve">the fact that “women bear both the direct and the indirect consequences of violations” </w:t>
      </w:r>
      <w:r w:rsidR="008872EE" w:rsidRPr="009C7A48">
        <w:rPr>
          <w:sz w:val="22"/>
          <w:szCs w:val="22"/>
        </w:rPr>
        <w:t>and</w:t>
      </w:r>
      <w:r w:rsidR="00BE5253" w:rsidRPr="009C7A48">
        <w:rPr>
          <w:sz w:val="22"/>
          <w:szCs w:val="22"/>
        </w:rPr>
        <w:t xml:space="preserve"> </w:t>
      </w:r>
      <w:r w:rsidR="00BA68D1" w:rsidRPr="009C7A48">
        <w:rPr>
          <w:sz w:val="22"/>
          <w:szCs w:val="22"/>
        </w:rPr>
        <w:t>experience specific gender-based violations,</w:t>
      </w:r>
      <w:r w:rsidR="004B57DB" w:rsidRPr="009C7A48">
        <w:rPr>
          <w:sz w:val="22"/>
          <w:szCs w:val="22"/>
        </w:rPr>
        <w:t xml:space="preserve"> the Commission increased the upper and lower limits for the amount of </w:t>
      </w:r>
      <w:r w:rsidR="00A40B51" w:rsidRPr="009C7A48">
        <w:rPr>
          <w:sz w:val="22"/>
          <w:szCs w:val="22"/>
        </w:rPr>
        <w:t>compensation</w:t>
      </w:r>
      <w:r w:rsidR="004B57DB" w:rsidRPr="009C7A48">
        <w:rPr>
          <w:sz w:val="22"/>
          <w:szCs w:val="22"/>
        </w:rPr>
        <w:t xml:space="preserve"> for various crimes if the victim was a woman.</w:t>
      </w:r>
      <w:r w:rsidR="00855ABD" w:rsidRPr="009C7A48">
        <w:rPr>
          <w:rStyle w:val="FootnoteReference"/>
          <w:sz w:val="22"/>
          <w:szCs w:val="22"/>
        </w:rPr>
        <w:footnoteReference w:id="50"/>
      </w:r>
      <w:r w:rsidR="004B57DB" w:rsidRPr="009C7A48">
        <w:rPr>
          <w:sz w:val="22"/>
          <w:szCs w:val="22"/>
        </w:rPr>
        <w:t xml:space="preserve"> </w:t>
      </w:r>
      <w:r w:rsidR="00E503DE" w:rsidRPr="009C7A48">
        <w:rPr>
          <w:sz w:val="22"/>
          <w:szCs w:val="22"/>
        </w:rPr>
        <w:t xml:space="preserve">Like Morocco, </w:t>
      </w:r>
      <w:r w:rsidR="00862B5A" w:rsidRPr="009C7A48">
        <w:rPr>
          <w:sz w:val="22"/>
          <w:szCs w:val="22"/>
        </w:rPr>
        <w:t xml:space="preserve">Colombia’s Ley 1448 of 2011 </w:t>
      </w:r>
      <w:r w:rsidR="00E503DE" w:rsidRPr="009C7A48">
        <w:rPr>
          <w:sz w:val="22"/>
          <w:szCs w:val="22"/>
        </w:rPr>
        <w:t xml:space="preserve">policy took a more comprehensive view of gender-based harms. It </w:t>
      </w:r>
      <w:r w:rsidR="00862B5A" w:rsidRPr="009C7A48">
        <w:rPr>
          <w:sz w:val="22"/>
          <w:szCs w:val="22"/>
        </w:rPr>
        <w:t>mandated “a special program to guarantee women's access to the procedures envisaged for [land] restitution, through preferential service windows, personnel trained in gender issues, measures to facilitate access by women's organizations or networks to reparation processes, as well as areas of care for children and adolescents and the disabled that make up their family group.”</w:t>
      </w:r>
      <w:r w:rsidR="00862B5A" w:rsidRPr="009C7A48">
        <w:rPr>
          <w:rStyle w:val="FootnoteReference"/>
          <w:sz w:val="22"/>
          <w:szCs w:val="22"/>
        </w:rPr>
        <w:footnoteReference w:id="51"/>
      </w:r>
      <w:r w:rsidR="00862B5A" w:rsidRPr="009C7A48">
        <w:rPr>
          <w:sz w:val="22"/>
          <w:szCs w:val="22"/>
        </w:rPr>
        <w:t xml:space="preserve"> It also </w:t>
      </w:r>
      <w:r w:rsidR="00E503DE" w:rsidRPr="009C7A48">
        <w:rPr>
          <w:sz w:val="22"/>
          <w:szCs w:val="22"/>
        </w:rPr>
        <w:t>required</w:t>
      </w:r>
      <w:r w:rsidR="00862B5A" w:rsidRPr="009C7A48">
        <w:rPr>
          <w:sz w:val="22"/>
          <w:szCs w:val="22"/>
        </w:rPr>
        <w:t xml:space="preserve"> that the unit responsible for land restitution process applications for women heads of household first.</w:t>
      </w:r>
      <w:r w:rsidR="00E503DE" w:rsidRPr="009C7A48">
        <w:rPr>
          <w:sz w:val="22"/>
          <w:szCs w:val="22"/>
        </w:rPr>
        <w:t xml:space="preserve"> </w:t>
      </w:r>
    </w:p>
    <w:p w14:paraId="058398E1" w14:textId="18760981" w:rsidR="00177A39" w:rsidRPr="009C7A48" w:rsidRDefault="00F91DE4" w:rsidP="00526055">
      <w:pPr>
        <w:spacing w:line="480" w:lineRule="auto"/>
        <w:ind w:firstLine="720"/>
        <w:rPr>
          <w:sz w:val="22"/>
          <w:szCs w:val="22"/>
        </w:rPr>
      </w:pPr>
      <w:r w:rsidRPr="009C7A48">
        <w:rPr>
          <w:sz w:val="22"/>
          <w:szCs w:val="22"/>
        </w:rPr>
        <w:t>Targeting e</w:t>
      </w:r>
      <w:r w:rsidR="00E503DE" w:rsidRPr="009C7A48">
        <w:rPr>
          <w:sz w:val="22"/>
          <w:szCs w:val="22"/>
        </w:rPr>
        <w:t>ducational opportunities</w:t>
      </w:r>
      <w:r w:rsidRPr="009C7A48">
        <w:rPr>
          <w:sz w:val="22"/>
          <w:szCs w:val="22"/>
        </w:rPr>
        <w:t xml:space="preserve"> and</w:t>
      </w:r>
      <w:r w:rsidR="00E503DE" w:rsidRPr="009C7A48">
        <w:rPr>
          <w:sz w:val="22"/>
          <w:szCs w:val="22"/>
        </w:rPr>
        <w:t xml:space="preserve"> land restitution</w:t>
      </w:r>
      <w:r w:rsidRPr="009C7A48">
        <w:rPr>
          <w:sz w:val="22"/>
          <w:szCs w:val="22"/>
        </w:rPr>
        <w:t xml:space="preserve"> </w:t>
      </w:r>
      <w:r w:rsidR="00E503DE" w:rsidRPr="009C7A48">
        <w:rPr>
          <w:sz w:val="22"/>
          <w:szCs w:val="22"/>
        </w:rPr>
        <w:t>signal</w:t>
      </w:r>
      <w:r w:rsidRPr="009C7A48">
        <w:rPr>
          <w:sz w:val="22"/>
          <w:szCs w:val="22"/>
        </w:rPr>
        <w:t>s</w:t>
      </w:r>
      <w:r w:rsidR="00E503DE" w:rsidRPr="009C7A48">
        <w:rPr>
          <w:sz w:val="22"/>
          <w:szCs w:val="22"/>
        </w:rPr>
        <w:t xml:space="preserve"> an awareness of how TJ mechanisms can address broader inequities created in the aftermath of repression and conflict. While critics of TJ policies are correct to note that these policies are not widespread, their existence reflects early understandings in the global feminist movement about the importance of eradicating discrimination and other more “transformational” </w:t>
      </w:r>
      <w:r w:rsidR="00E1361E" w:rsidRPr="009C7A48">
        <w:rPr>
          <w:sz w:val="22"/>
          <w:szCs w:val="22"/>
        </w:rPr>
        <w:t>manifestations</w:t>
      </w:r>
      <w:r w:rsidR="00E503DE" w:rsidRPr="009C7A48">
        <w:rPr>
          <w:sz w:val="22"/>
          <w:szCs w:val="22"/>
        </w:rPr>
        <w:t xml:space="preserve"> of gender-based inequality. </w:t>
      </w:r>
    </w:p>
    <w:p w14:paraId="603D2792" w14:textId="77777777" w:rsidR="00664E49" w:rsidRDefault="00664E49" w:rsidP="00526055">
      <w:pPr>
        <w:spacing w:line="480" w:lineRule="auto"/>
        <w:ind w:firstLine="720"/>
      </w:pPr>
    </w:p>
    <w:p w14:paraId="3F6831B4" w14:textId="43C55CBD" w:rsidR="00177A39" w:rsidRPr="009C7A48" w:rsidRDefault="00221399" w:rsidP="00526055">
      <w:pPr>
        <w:spacing w:line="480" w:lineRule="auto"/>
      </w:pPr>
      <w:r w:rsidRPr="009C7A48">
        <w:rPr>
          <w:b/>
          <w:bCs/>
        </w:rPr>
        <w:t>6. Case Evidence: Colombia and Tunisia</w:t>
      </w:r>
    </w:p>
    <w:p w14:paraId="709B191F" w14:textId="778FB25C" w:rsidR="003A722E" w:rsidRPr="009C7A48" w:rsidRDefault="00177A39" w:rsidP="00203BBC">
      <w:pPr>
        <w:spacing w:line="480" w:lineRule="auto"/>
        <w:ind w:firstLine="720"/>
        <w:rPr>
          <w:sz w:val="22"/>
          <w:szCs w:val="22"/>
        </w:rPr>
      </w:pPr>
      <w:r w:rsidRPr="009C7A48">
        <w:rPr>
          <w:sz w:val="22"/>
          <w:szCs w:val="22"/>
        </w:rPr>
        <w:t xml:space="preserve">While this evidence </w:t>
      </w:r>
      <w:r w:rsidR="00FA5D60">
        <w:rPr>
          <w:sz w:val="22"/>
          <w:szCs w:val="22"/>
        </w:rPr>
        <w:t xml:space="preserve">illustrates </w:t>
      </w:r>
      <w:r w:rsidRPr="009C7A48">
        <w:rPr>
          <w:sz w:val="22"/>
          <w:szCs w:val="22"/>
        </w:rPr>
        <w:t xml:space="preserve">variation in TJ practices over time, it obscures </w:t>
      </w:r>
      <w:r w:rsidR="003A722E" w:rsidRPr="009C7A48">
        <w:rPr>
          <w:sz w:val="22"/>
          <w:szCs w:val="22"/>
        </w:rPr>
        <w:t>a more complex story about the inclusion of</w:t>
      </w:r>
      <w:r w:rsidRPr="009C7A48">
        <w:rPr>
          <w:sz w:val="22"/>
          <w:szCs w:val="22"/>
        </w:rPr>
        <w:t xml:space="preserve"> </w:t>
      </w:r>
      <w:r w:rsidR="003A722E" w:rsidRPr="009C7A48">
        <w:rPr>
          <w:sz w:val="22"/>
          <w:szCs w:val="22"/>
        </w:rPr>
        <w:t xml:space="preserve">gender concerns in </w:t>
      </w:r>
      <w:r w:rsidRPr="009C7A48">
        <w:rPr>
          <w:sz w:val="22"/>
          <w:szCs w:val="22"/>
        </w:rPr>
        <w:t xml:space="preserve">TJ </w:t>
      </w:r>
      <w:r w:rsidR="003A722E" w:rsidRPr="009C7A48">
        <w:rPr>
          <w:sz w:val="22"/>
          <w:szCs w:val="22"/>
        </w:rPr>
        <w:t>mechanisms.</w:t>
      </w:r>
      <w:r w:rsidR="00DB18DC">
        <w:rPr>
          <w:sz w:val="22"/>
          <w:szCs w:val="22"/>
        </w:rPr>
        <w:t xml:space="preserve"> </w:t>
      </w:r>
      <w:r w:rsidR="00203BBC">
        <w:rPr>
          <w:sz w:val="22"/>
          <w:szCs w:val="22"/>
        </w:rPr>
        <w:t xml:space="preserve">We now turn to two case studies -- </w:t>
      </w:r>
      <w:r w:rsidR="00DB18DC">
        <w:rPr>
          <w:sz w:val="22"/>
          <w:szCs w:val="22"/>
        </w:rPr>
        <w:lastRenderedPageBreak/>
        <w:t>Tunisia and Colombia</w:t>
      </w:r>
      <w:r w:rsidR="00203BBC">
        <w:rPr>
          <w:sz w:val="22"/>
          <w:szCs w:val="22"/>
        </w:rPr>
        <w:t xml:space="preserve"> --</w:t>
      </w:r>
      <w:r w:rsidR="00DB18DC">
        <w:rPr>
          <w:sz w:val="22"/>
          <w:szCs w:val="22"/>
        </w:rPr>
        <w:t xml:space="preserve"> to </w:t>
      </w:r>
      <w:r w:rsidR="00203BBC">
        <w:rPr>
          <w:sz w:val="22"/>
          <w:szCs w:val="22"/>
        </w:rPr>
        <w:t>validate</w:t>
      </w:r>
      <w:r w:rsidR="005C3D36">
        <w:rPr>
          <w:sz w:val="22"/>
          <w:szCs w:val="22"/>
        </w:rPr>
        <w:t xml:space="preserve"> our central </w:t>
      </w:r>
      <w:r w:rsidR="00203BBC">
        <w:rPr>
          <w:sz w:val="22"/>
          <w:szCs w:val="22"/>
        </w:rPr>
        <w:t>claims. These cases show that gender-</w:t>
      </w:r>
      <w:r w:rsidR="00D96AD3">
        <w:rPr>
          <w:sz w:val="22"/>
          <w:szCs w:val="22"/>
        </w:rPr>
        <w:t>a</w:t>
      </w:r>
      <w:r w:rsidR="00563738">
        <w:rPr>
          <w:sz w:val="22"/>
          <w:szCs w:val="22"/>
        </w:rPr>
        <w:t>ttenti</w:t>
      </w:r>
      <w:r w:rsidR="00203BBC">
        <w:rPr>
          <w:sz w:val="22"/>
          <w:szCs w:val="22"/>
        </w:rPr>
        <w:t>ve</w:t>
      </w:r>
      <w:r w:rsidR="00563738">
        <w:rPr>
          <w:sz w:val="22"/>
          <w:szCs w:val="22"/>
        </w:rPr>
        <w:t xml:space="preserve"> TJ</w:t>
      </w:r>
      <w:r w:rsidR="00203BBC">
        <w:rPr>
          <w:sz w:val="22"/>
          <w:szCs w:val="22"/>
        </w:rPr>
        <w:t xml:space="preserve"> policies</w:t>
      </w:r>
      <w:r w:rsidR="00563738">
        <w:rPr>
          <w:sz w:val="22"/>
          <w:szCs w:val="22"/>
        </w:rPr>
        <w:t xml:space="preserve"> often </w:t>
      </w:r>
      <w:r w:rsidR="00203BBC">
        <w:rPr>
          <w:sz w:val="22"/>
          <w:szCs w:val="22"/>
        </w:rPr>
        <w:t>emerge from</w:t>
      </w:r>
      <w:r w:rsidR="00563738">
        <w:rPr>
          <w:sz w:val="22"/>
          <w:szCs w:val="22"/>
        </w:rPr>
        <w:t xml:space="preserve"> domestic </w:t>
      </w:r>
      <w:r w:rsidR="00203BBC">
        <w:rPr>
          <w:sz w:val="22"/>
          <w:szCs w:val="22"/>
        </w:rPr>
        <w:t xml:space="preserve">cultural and political processes and can be influenced by TJ practices elsewhere within the region. Furthermore, the cases </w:t>
      </w:r>
      <w:r w:rsidR="00821FD4">
        <w:rPr>
          <w:sz w:val="22"/>
          <w:szCs w:val="22"/>
        </w:rPr>
        <w:t xml:space="preserve">demonstrate that </w:t>
      </w:r>
      <w:r w:rsidR="00C2492B">
        <w:rPr>
          <w:sz w:val="22"/>
          <w:szCs w:val="22"/>
        </w:rPr>
        <w:t>attention to physical harm</w:t>
      </w:r>
      <w:r w:rsidR="00580000">
        <w:rPr>
          <w:sz w:val="22"/>
          <w:szCs w:val="22"/>
        </w:rPr>
        <w:t xml:space="preserve">s like rape and sexual violence </w:t>
      </w:r>
      <w:r w:rsidR="00C2492B">
        <w:rPr>
          <w:sz w:val="22"/>
          <w:szCs w:val="22"/>
        </w:rPr>
        <w:t>does not preclude attention to other types of gendered harms</w:t>
      </w:r>
      <w:r w:rsidR="0023354C">
        <w:rPr>
          <w:sz w:val="22"/>
          <w:szCs w:val="22"/>
        </w:rPr>
        <w:t xml:space="preserve"> and can, instead, produce a positive spillover</w:t>
      </w:r>
      <w:r w:rsidR="00C2492B">
        <w:rPr>
          <w:sz w:val="22"/>
          <w:szCs w:val="22"/>
        </w:rPr>
        <w:t xml:space="preserve">. </w:t>
      </w:r>
    </w:p>
    <w:p w14:paraId="01572C2A" w14:textId="77777777" w:rsidR="00EF270B" w:rsidRDefault="00EF270B" w:rsidP="00526055">
      <w:pPr>
        <w:autoSpaceDE w:val="0"/>
        <w:autoSpaceDN w:val="0"/>
        <w:adjustRightInd w:val="0"/>
        <w:spacing w:line="480" w:lineRule="auto"/>
        <w:rPr>
          <w:b/>
          <w:bCs/>
          <w:i/>
          <w:iCs/>
          <w:sz w:val="28"/>
          <w:szCs w:val="28"/>
        </w:rPr>
      </w:pPr>
    </w:p>
    <w:p w14:paraId="7DEC43F0" w14:textId="084602FB" w:rsidR="004077AD" w:rsidRPr="009C7A48" w:rsidRDefault="008133DC" w:rsidP="00526055">
      <w:pPr>
        <w:autoSpaceDE w:val="0"/>
        <w:autoSpaceDN w:val="0"/>
        <w:adjustRightInd w:val="0"/>
        <w:spacing w:line="480" w:lineRule="auto"/>
        <w:rPr>
          <w:b/>
          <w:bCs/>
          <w:i/>
          <w:iCs/>
        </w:rPr>
      </w:pPr>
      <w:r w:rsidRPr="009C7A48">
        <w:rPr>
          <w:b/>
          <w:bCs/>
          <w:i/>
          <w:iCs/>
        </w:rPr>
        <w:t xml:space="preserve">6.1 </w:t>
      </w:r>
      <w:r w:rsidR="004077AD" w:rsidRPr="009C7A48">
        <w:rPr>
          <w:b/>
          <w:bCs/>
          <w:i/>
          <w:iCs/>
        </w:rPr>
        <w:t>Tunisia</w:t>
      </w:r>
    </w:p>
    <w:p w14:paraId="39C6A87B" w14:textId="7371B7EA" w:rsidR="001C73D3" w:rsidRPr="001C73D3" w:rsidRDefault="001C73D3" w:rsidP="001C73D3">
      <w:pPr>
        <w:autoSpaceDE w:val="0"/>
        <w:autoSpaceDN w:val="0"/>
        <w:adjustRightInd w:val="0"/>
        <w:spacing w:line="480" w:lineRule="auto"/>
        <w:ind w:firstLine="720"/>
        <w:rPr>
          <w:sz w:val="22"/>
          <w:szCs w:val="22"/>
        </w:rPr>
      </w:pPr>
      <w:r w:rsidRPr="001C73D3">
        <w:rPr>
          <w:sz w:val="22"/>
          <w:szCs w:val="22"/>
        </w:rPr>
        <w:t xml:space="preserve">The Tunisian transitional justice experience following the 2010-2011 Jasmine Revolution illustrates how gender emerged in the content of TJ policies. Although Tunisia later reverted to authoritarian rule, its TJ policies were </w:t>
      </w:r>
      <w:r w:rsidR="00750CFD">
        <w:rPr>
          <w:sz w:val="22"/>
          <w:szCs w:val="22"/>
        </w:rPr>
        <w:t xml:space="preserve">initiated </w:t>
      </w:r>
      <w:r w:rsidRPr="001C73D3">
        <w:rPr>
          <w:sz w:val="22"/>
          <w:szCs w:val="22"/>
        </w:rPr>
        <w:t xml:space="preserve">during its transition to democracy.  </w:t>
      </w:r>
      <w:r w:rsidR="003F2F72">
        <w:rPr>
          <w:sz w:val="22"/>
          <w:szCs w:val="22"/>
        </w:rPr>
        <w:t xml:space="preserve">Most importantly, </w:t>
      </w:r>
      <w:r w:rsidR="003F2F72" w:rsidRPr="001C73D3">
        <w:rPr>
          <w:sz w:val="22"/>
          <w:szCs w:val="22"/>
        </w:rPr>
        <w:t xml:space="preserve">In December 2013, </w:t>
      </w:r>
      <w:r w:rsidR="003F2F72" w:rsidRPr="001C73D3">
        <w:rPr>
          <w:sz w:val="22"/>
          <w:szCs w:val="22"/>
          <w:lang w:val="en-GB"/>
        </w:rPr>
        <w:t xml:space="preserve">the Tunisian National Constituent Assembly created the </w:t>
      </w:r>
      <w:r w:rsidR="003F2F72" w:rsidRPr="001C73D3">
        <w:rPr>
          <w:sz w:val="22"/>
          <w:szCs w:val="22"/>
        </w:rPr>
        <w:t xml:space="preserve">Truth and Dignity Commission, or Instance Vérité et Dignité (IVD) as it is known in French. </w:t>
      </w:r>
    </w:p>
    <w:p w14:paraId="153A440D" w14:textId="77777777" w:rsidR="001C73D3" w:rsidRPr="001C73D3" w:rsidRDefault="001C73D3" w:rsidP="001C73D3">
      <w:pPr>
        <w:autoSpaceDE w:val="0"/>
        <w:autoSpaceDN w:val="0"/>
        <w:adjustRightInd w:val="0"/>
        <w:spacing w:line="480" w:lineRule="auto"/>
        <w:ind w:firstLine="720"/>
        <w:rPr>
          <w:sz w:val="22"/>
          <w:szCs w:val="22"/>
        </w:rPr>
      </w:pPr>
      <w:r w:rsidRPr="001C73D3">
        <w:rPr>
          <w:sz w:val="22"/>
          <w:szCs w:val="22"/>
        </w:rPr>
        <w:t>We use this case study to explore causal mechanisms for two of our arguments. First, the case of Tunisia demonstrates that attention to gender in the transitional justice process grew out of domestic movements and regional diffusion rather than being imposed by donors in the Global North. Second, while Tunisia’s Truth Commission and the accompanying reparations policy did adopt a limited understanding of gender that excluded men and boys and LGBTQI+ individuals, IVD’s understanding of harms expanded beyond physical violations. At least in its understanding of harms, IVD is an example of positive spillover rather than crowding out: attention to physical violations did not preclude attention to other types of gendered harms, albeit only against women.</w:t>
      </w:r>
    </w:p>
    <w:p w14:paraId="77515BEB" w14:textId="583D8C9F" w:rsidR="001C73D3" w:rsidRPr="001C73D3" w:rsidRDefault="00755C90" w:rsidP="001C73D3">
      <w:pPr>
        <w:autoSpaceDE w:val="0"/>
        <w:autoSpaceDN w:val="0"/>
        <w:adjustRightInd w:val="0"/>
        <w:spacing w:line="480" w:lineRule="auto"/>
        <w:ind w:firstLine="720"/>
        <w:rPr>
          <w:sz w:val="22"/>
          <w:szCs w:val="22"/>
        </w:rPr>
      </w:pPr>
      <w:r>
        <w:rPr>
          <w:sz w:val="22"/>
          <w:szCs w:val="22"/>
        </w:rPr>
        <w:t xml:space="preserve">Attention to gender in Tunisia’s TJ process was not imposed by foreign donors; instead, it grew out of longstanding </w:t>
      </w:r>
      <w:r w:rsidR="001C73D3" w:rsidRPr="001C73D3">
        <w:rPr>
          <w:sz w:val="22"/>
          <w:szCs w:val="22"/>
        </w:rPr>
        <w:t xml:space="preserve">attention to gender in domestic society and politics. The first women’s organization, the Muslim Women’s Union of Tunisia, was founded in 1936. Women’s organizations proliferated in the </w:t>
      </w:r>
      <w:r w:rsidR="001C73D3" w:rsidRPr="001C73D3">
        <w:rPr>
          <w:sz w:val="22"/>
          <w:szCs w:val="22"/>
        </w:rPr>
        <w:lastRenderedPageBreak/>
        <w:t>1940s.</w:t>
      </w:r>
      <w:r w:rsidR="001C73D3" w:rsidRPr="001C73D3">
        <w:rPr>
          <w:sz w:val="22"/>
          <w:szCs w:val="22"/>
          <w:vertAlign w:val="superscript"/>
        </w:rPr>
        <w:footnoteReference w:id="52"/>
      </w:r>
      <w:r w:rsidR="001C73D3" w:rsidRPr="001C73D3">
        <w:rPr>
          <w:sz w:val="22"/>
          <w:szCs w:val="22"/>
        </w:rPr>
        <w:t xml:space="preserve"> Although many were not explicitly feminist in their aims, they were vehicles for women’s participation in politics.</w:t>
      </w:r>
      <w:r w:rsidR="001C73D3" w:rsidRPr="001C73D3">
        <w:rPr>
          <w:sz w:val="22"/>
          <w:szCs w:val="22"/>
          <w:vertAlign w:val="superscript"/>
        </w:rPr>
        <w:footnoteReference w:id="53"/>
      </w:r>
      <w:r w:rsidR="001C73D3" w:rsidRPr="001C73D3">
        <w:rPr>
          <w:sz w:val="22"/>
          <w:szCs w:val="22"/>
        </w:rPr>
        <w:t xml:space="preserve"> </w:t>
      </w:r>
    </w:p>
    <w:p w14:paraId="0740453A" w14:textId="0423DE0A" w:rsidR="001C73D3" w:rsidRPr="001C73D3" w:rsidRDefault="001C73D3" w:rsidP="00E678C8">
      <w:pPr>
        <w:autoSpaceDE w:val="0"/>
        <w:autoSpaceDN w:val="0"/>
        <w:adjustRightInd w:val="0"/>
        <w:spacing w:line="480" w:lineRule="auto"/>
        <w:ind w:firstLine="720"/>
        <w:rPr>
          <w:sz w:val="22"/>
          <w:szCs w:val="22"/>
        </w:rPr>
      </w:pPr>
      <w:r w:rsidRPr="001C73D3">
        <w:rPr>
          <w:sz w:val="22"/>
          <w:szCs w:val="22"/>
        </w:rPr>
        <w:t>On August 13, 1956, less than five months after Tunisia gained independence from France, the country’s new president</w:t>
      </w:r>
      <w:r w:rsidR="00E678C8">
        <w:rPr>
          <w:sz w:val="22"/>
          <w:szCs w:val="22"/>
        </w:rPr>
        <w:t>, Habib Bourguiba,</w:t>
      </w:r>
      <w:r w:rsidRPr="001C73D3">
        <w:rPr>
          <w:sz w:val="22"/>
          <w:szCs w:val="22"/>
        </w:rPr>
        <w:t xml:space="preserve"> implemented a progressive law that advanced women’s equality in the social and economic spheres</w:t>
      </w:r>
      <w:r w:rsidR="00750CFD">
        <w:rPr>
          <w:sz w:val="22"/>
          <w:szCs w:val="22"/>
        </w:rPr>
        <w:t>.</w:t>
      </w:r>
      <w:r w:rsidRPr="001C73D3">
        <w:rPr>
          <w:sz w:val="22"/>
          <w:szCs w:val="22"/>
          <w:vertAlign w:val="superscript"/>
        </w:rPr>
        <w:footnoteReference w:id="54"/>
      </w:r>
      <w:r w:rsidR="00750CFD">
        <w:rPr>
          <w:sz w:val="22"/>
          <w:szCs w:val="22"/>
        </w:rPr>
        <w:t xml:space="preserve"> </w:t>
      </w:r>
      <w:r w:rsidRPr="001C73D3">
        <w:rPr>
          <w:sz w:val="22"/>
          <w:szCs w:val="22"/>
        </w:rPr>
        <w:t>However, this top-down promotion of gender equality, known as state feminism, promoted secular Tunisian women and presented Islamist women as a threat to the modernizing project.</w:t>
      </w:r>
      <w:r w:rsidRPr="001C73D3">
        <w:rPr>
          <w:sz w:val="22"/>
          <w:szCs w:val="22"/>
          <w:vertAlign w:val="superscript"/>
        </w:rPr>
        <w:footnoteReference w:id="55"/>
      </w:r>
      <w:r w:rsidRPr="001C73D3">
        <w:rPr>
          <w:sz w:val="22"/>
          <w:szCs w:val="22"/>
        </w:rPr>
        <w:t xml:space="preserve"> </w:t>
      </w:r>
      <w:r w:rsidR="00E678C8">
        <w:rPr>
          <w:sz w:val="22"/>
          <w:szCs w:val="22"/>
        </w:rPr>
        <w:t xml:space="preserve">Women were thus participants and subjects of Tunisia’s national political conversation well before the 2011 revolution. </w:t>
      </w:r>
      <w:r w:rsidRPr="001C73D3">
        <w:rPr>
          <w:sz w:val="22"/>
          <w:szCs w:val="22"/>
        </w:rPr>
        <w:t xml:space="preserve">Attention to gender in Tunisia’s TJ process </w:t>
      </w:r>
      <w:r w:rsidR="00E678C8">
        <w:rPr>
          <w:sz w:val="22"/>
          <w:szCs w:val="22"/>
        </w:rPr>
        <w:t xml:space="preserve">followed naturally from </w:t>
      </w:r>
      <w:r w:rsidRPr="001C73D3">
        <w:rPr>
          <w:sz w:val="22"/>
          <w:szCs w:val="22"/>
        </w:rPr>
        <w:t>attention to gender in national politics since before Tunisia’s independence.</w:t>
      </w:r>
    </w:p>
    <w:p w14:paraId="47AC897A" w14:textId="3788FFDF" w:rsidR="001C73D3" w:rsidRPr="00735128" w:rsidRDefault="003F2F72" w:rsidP="00735128">
      <w:pPr>
        <w:autoSpaceDE w:val="0"/>
        <w:autoSpaceDN w:val="0"/>
        <w:adjustRightInd w:val="0"/>
        <w:spacing w:line="480" w:lineRule="auto"/>
        <w:ind w:firstLine="720"/>
        <w:rPr>
          <w:sz w:val="22"/>
          <w:szCs w:val="22"/>
        </w:rPr>
      </w:pPr>
      <w:r>
        <w:rPr>
          <w:sz w:val="22"/>
          <w:szCs w:val="22"/>
        </w:rPr>
        <w:t xml:space="preserve">International influences were important for TJ in Tunisia, but they came from </w:t>
      </w:r>
      <w:r w:rsidR="005013E2">
        <w:rPr>
          <w:sz w:val="22"/>
          <w:szCs w:val="22"/>
        </w:rPr>
        <w:t xml:space="preserve">within </w:t>
      </w:r>
      <w:r w:rsidR="00690625">
        <w:rPr>
          <w:sz w:val="22"/>
          <w:szCs w:val="22"/>
        </w:rPr>
        <w:t>Africa</w:t>
      </w:r>
      <w:r>
        <w:rPr>
          <w:sz w:val="22"/>
          <w:szCs w:val="22"/>
        </w:rPr>
        <w:t xml:space="preserve">.  </w:t>
      </w:r>
      <w:r w:rsidRPr="001C73D3">
        <w:rPr>
          <w:sz w:val="22"/>
          <w:szCs w:val="22"/>
        </w:rPr>
        <w:t xml:space="preserve">Tunisia’s IVD was informed by </w:t>
      </w:r>
      <w:r>
        <w:rPr>
          <w:sz w:val="22"/>
          <w:szCs w:val="22"/>
        </w:rPr>
        <w:t>first the South African TRC, and late</w:t>
      </w:r>
      <w:r w:rsidR="002C521A">
        <w:rPr>
          <w:sz w:val="22"/>
          <w:szCs w:val="22"/>
        </w:rPr>
        <w:t>r</w:t>
      </w:r>
      <w:r>
        <w:rPr>
          <w:sz w:val="22"/>
          <w:szCs w:val="22"/>
        </w:rPr>
        <w:t xml:space="preserve"> by </w:t>
      </w:r>
      <w:r w:rsidRPr="001C73D3">
        <w:rPr>
          <w:sz w:val="22"/>
          <w:szCs w:val="22"/>
        </w:rPr>
        <w:t xml:space="preserve">Morocco’s 2004 Truth and Dignity Commission, </w:t>
      </w:r>
      <w:r>
        <w:rPr>
          <w:sz w:val="22"/>
          <w:szCs w:val="22"/>
        </w:rPr>
        <w:t xml:space="preserve">two of </w:t>
      </w:r>
      <w:r w:rsidRPr="001C73D3">
        <w:rPr>
          <w:sz w:val="22"/>
          <w:szCs w:val="22"/>
        </w:rPr>
        <w:t>the first TCs in the world to adopt a gender approach</w:t>
      </w:r>
      <w:r>
        <w:rPr>
          <w:sz w:val="22"/>
          <w:szCs w:val="22"/>
        </w:rPr>
        <w:t>.</w:t>
      </w:r>
      <w:r w:rsidR="00500D98">
        <w:rPr>
          <w:rStyle w:val="FootnoteReference"/>
          <w:sz w:val="22"/>
          <w:szCs w:val="22"/>
        </w:rPr>
        <w:footnoteReference w:id="56"/>
      </w:r>
      <w:r>
        <w:rPr>
          <w:sz w:val="22"/>
          <w:szCs w:val="22"/>
        </w:rPr>
        <w:t xml:space="preserve"> </w:t>
      </w:r>
      <w:r w:rsidR="001C73D3" w:rsidRPr="001C73D3">
        <w:rPr>
          <w:sz w:val="22"/>
          <w:szCs w:val="22"/>
        </w:rPr>
        <w:t>Tunisian IVD commissioners and staff met with former Moroccan commissioners and were inspired to create a special committee for women within IVD.</w:t>
      </w:r>
      <w:r w:rsidR="001C73D3" w:rsidRPr="001C73D3">
        <w:rPr>
          <w:sz w:val="22"/>
          <w:szCs w:val="22"/>
          <w:vertAlign w:val="superscript"/>
        </w:rPr>
        <w:footnoteReference w:id="57"/>
      </w:r>
      <w:r w:rsidR="001C73D3" w:rsidRPr="001C73D3">
        <w:rPr>
          <w:sz w:val="22"/>
          <w:szCs w:val="22"/>
        </w:rPr>
        <w:t xml:space="preserve"> Tunisia’s TC thus followed in the footsteps of Morocco’s, adopting a cross-cutting approach to gender, and devoting a chapter to abuses against women that investigated repression and violations during the Bourguiba and Ben Ali periods. IVD was mandated to pay special attention to women from the start, </w:t>
      </w:r>
      <w:r w:rsidR="001C73D3" w:rsidRPr="001C73D3">
        <w:rPr>
          <w:sz w:val="22"/>
          <w:szCs w:val="22"/>
          <w:lang w:val="en-GB"/>
        </w:rPr>
        <w:t>“</w:t>
      </w:r>
      <w:r w:rsidR="001C73D3" w:rsidRPr="001C73D3">
        <w:rPr>
          <w:sz w:val="22"/>
          <w:szCs w:val="22"/>
        </w:rPr>
        <w:t>in particular women and children's rights as well as the rights of those with special needs and vulnerable groups,”</w:t>
      </w:r>
      <w:r w:rsidR="001C73D3" w:rsidRPr="001C73D3">
        <w:rPr>
          <w:sz w:val="22"/>
          <w:szCs w:val="22"/>
          <w:vertAlign w:val="superscript"/>
        </w:rPr>
        <w:footnoteReference w:id="58"/>
      </w:r>
      <w:r w:rsidR="001C73D3" w:rsidRPr="001C73D3">
        <w:rPr>
          <w:sz w:val="22"/>
          <w:szCs w:val="22"/>
          <w:lang w:val="en-GB"/>
        </w:rPr>
        <w:t xml:space="preserve"> mainly through a comprehensive individual and collective </w:t>
      </w:r>
      <w:r w:rsidR="001C73D3" w:rsidRPr="001C73D3">
        <w:rPr>
          <w:sz w:val="22"/>
          <w:szCs w:val="22"/>
          <w:lang w:val="en-GB"/>
        </w:rPr>
        <w:lastRenderedPageBreak/>
        <w:t>program for reparations</w:t>
      </w:r>
      <w:r w:rsidR="00C44967">
        <w:rPr>
          <w:sz w:val="22"/>
          <w:szCs w:val="22"/>
          <w:lang w:val="en-GB"/>
        </w:rPr>
        <w:t xml:space="preserve">, which was </w:t>
      </w:r>
      <w:r w:rsidR="00461DA6">
        <w:rPr>
          <w:sz w:val="22"/>
          <w:szCs w:val="22"/>
          <w:lang w:val="en-GB"/>
        </w:rPr>
        <w:t>written but</w:t>
      </w:r>
      <w:r w:rsidR="00750CFD">
        <w:rPr>
          <w:sz w:val="22"/>
          <w:szCs w:val="22"/>
          <w:lang w:val="en-GB"/>
        </w:rPr>
        <w:t xml:space="preserve"> payments were not dispersed.</w:t>
      </w:r>
      <w:r w:rsidR="00750CFD">
        <w:rPr>
          <w:rStyle w:val="FootnoteReference"/>
          <w:sz w:val="22"/>
          <w:szCs w:val="22"/>
          <w:lang w:val="en-GB"/>
        </w:rPr>
        <w:footnoteReference w:id="59"/>
      </w:r>
      <w:r w:rsidR="001C73D3" w:rsidRPr="001C73D3">
        <w:rPr>
          <w:sz w:val="22"/>
          <w:szCs w:val="22"/>
          <w:lang w:val="en-GB"/>
        </w:rPr>
        <w:t xml:space="preserve">. </w:t>
      </w:r>
      <w:r w:rsidR="0009525F">
        <w:rPr>
          <w:sz w:val="22"/>
          <w:szCs w:val="22"/>
        </w:rPr>
        <w:t xml:space="preserve"> Tunisia’s </w:t>
      </w:r>
      <w:r w:rsidR="001C73D3" w:rsidRPr="001C73D3">
        <w:rPr>
          <w:sz w:val="22"/>
          <w:szCs w:val="22"/>
        </w:rPr>
        <w:t xml:space="preserve">reparations policy did not recognize women to the same extent as Morocco’s, but it did </w:t>
      </w:r>
      <w:r w:rsidR="0009525F">
        <w:rPr>
          <w:sz w:val="22"/>
          <w:szCs w:val="22"/>
        </w:rPr>
        <w:t xml:space="preserve">proposed to </w:t>
      </w:r>
      <w:r w:rsidR="001C73D3" w:rsidRPr="001C73D3">
        <w:rPr>
          <w:sz w:val="22"/>
          <w:szCs w:val="22"/>
        </w:rPr>
        <w:t xml:space="preserve">compensate female spouses of deceased victims 5% more than male spouses of deceased victims. It also </w:t>
      </w:r>
      <w:r w:rsidR="0009525F">
        <w:rPr>
          <w:sz w:val="22"/>
          <w:szCs w:val="22"/>
        </w:rPr>
        <w:t xml:space="preserve">proposed to </w:t>
      </w:r>
      <w:r w:rsidR="001C73D3" w:rsidRPr="001C73D3">
        <w:rPr>
          <w:sz w:val="22"/>
          <w:szCs w:val="22"/>
        </w:rPr>
        <w:t>compensate mothers of deceased victims 5% more than fathers.</w:t>
      </w:r>
      <w:r w:rsidR="001C73D3" w:rsidRPr="001C73D3">
        <w:rPr>
          <w:sz w:val="22"/>
          <w:szCs w:val="22"/>
          <w:vertAlign w:val="superscript"/>
        </w:rPr>
        <w:footnoteReference w:id="60"/>
      </w:r>
      <w:r w:rsidR="001C73D3" w:rsidRPr="001C73D3">
        <w:rPr>
          <w:sz w:val="22"/>
          <w:szCs w:val="22"/>
        </w:rPr>
        <w:t xml:space="preserve"> This evidence of regional diffusion and learning is at odds with an account of gender-attentive TJ originating </w:t>
      </w:r>
      <w:r w:rsidR="00861789">
        <w:rPr>
          <w:sz w:val="22"/>
          <w:szCs w:val="22"/>
        </w:rPr>
        <w:t>primarily from</w:t>
      </w:r>
      <w:r w:rsidR="001C73D3" w:rsidRPr="001C73D3">
        <w:rPr>
          <w:sz w:val="22"/>
          <w:szCs w:val="22"/>
        </w:rPr>
        <w:t xml:space="preserve"> Europe and North America.</w:t>
      </w:r>
    </w:p>
    <w:p w14:paraId="26735288" w14:textId="52EA6A96" w:rsidR="00707EA7" w:rsidRDefault="00204910" w:rsidP="001C73D3">
      <w:pPr>
        <w:autoSpaceDE w:val="0"/>
        <w:autoSpaceDN w:val="0"/>
        <w:adjustRightInd w:val="0"/>
        <w:spacing w:line="480" w:lineRule="auto"/>
        <w:ind w:firstLine="720"/>
        <w:rPr>
          <w:sz w:val="22"/>
          <w:szCs w:val="22"/>
        </w:rPr>
      </w:pPr>
      <w:r>
        <w:rPr>
          <w:sz w:val="22"/>
          <w:szCs w:val="22"/>
        </w:rPr>
        <w:t xml:space="preserve">IVD is an example of positive spillover: </w:t>
      </w:r>
      <w:r w:rsidR="00CB4B4F">
        <w:rPr>
          <w:sz w:val="22"/>
          <w:szCs w:val="22"/>
        </w:rPr>
        <w:t xml:space="preserve">its attention to physical violations did not preclude attention to </w:t>
      </w:r>
      <w:r w:rsidR="00EF51E5">
        <w:rPr>
          <w:sz w:val="22"/>
          <w:szCs w:val="22"/>
        </w:rPr>
        <w:t>other types of gendered harms</w:t>
      </w:r>
      <w:r w:rsidR="008358CC">
        <w:rPr>
          <w:sz w:val="22"/>
          <w:szCs w:val="22"/>
        </w:rPr>
        <w:t>.</w:t>
      </w:r>
      <w:r w:rsidR="008F49AF">
        <w:rPr>
          <w:sz w:val="22"/>
          <w:szCs w:val="22"/>
        </w:rPr>
        <w:t xml:space="preserve"> </w:t>
      </w:r>
      <w:r w:rsidR="001C73D3" w:rsidRPr="001C73D3">
        <w:rPr>
          <w:sz w:val="22"/>
          <w:szCs w:val="22"/>
        </w:rPr>
        <w:t xml:space="preserve">In </w:t>
      </w:r>
      <w:r w:rsidR="002C5D0A">
        <w:rPr>
          <w:sz w:val="22"/>
          <w:szCs w:val="22"/>
        </w:rPr>
        <w:t>its</w:t>
      </w:r>
      <w:r w:rsidR="003F2F72">
        <w:rPr>
          <w:sz w:val="22"/>
          <w:szCs w:val="22"/>
        </w:rPr>
        <w:t xml:space="preserve"> </w:t>
      </w:r>
      <w:r w:rsidR="001C73D3" w:rsidRPr="001C73D3">
        <w:rPr>
          <w:sz w:val="22"/>
          <w:szCs w:val="22"/>
        </w:rPr>
        <w:t>chapter “Abuses Against Women,” IVD notes that it “adopted a gender approach for equal access to civil, political, economic and social rights and for the promotion of equity between genders, particularly for women who have suffered violations with reference to Article 8 of the Organic Law on Transitional Justice.” Article 8 mandates Specialized Chambers to adjudicate cases of gross violations of human rights</w:t>
      </w:r>
      <w:r w:rsidR="007C3039">
        <w:rPr>
          <w:sz w:val="22"/>
          <w:szCs w:val="22"/>
        </w:rPr>
        <w:t>,</w:t>
      </w:r>
      <w:r w:rsidR="001C73D3" w:rsidRPr="001C73D3">
        <w:rPr>
          <w:sz w:val="22"/>
          <w:szCs w:val="22"/>
        </w:rPr>
        <w:t xml:space="preserve"> including killing, rape and sexual violence, torture, and enforced disappearance. In </w:t>
      </w:r>
      <w:r w:rsidR="00811CE5">
        <w:rPr>
          <w:sz w:val="22"/>
          <w:szCs w:val="22"/>
        </w:rPr>
        <w:t xml:space="preserve">the outline of </w:t>
      </w:r>
      <w:r w:rsidR="001C73D3" w:rsidRPr="001C73D3">
        <w:rPr>
          <w:sz w:val="22"/>
          <w:szCs w:val="22"/>
        </w:rPr>
        <w:t xml:space="preserve">its comprehensive individual reparations program, IVD </w:t>
      </w:r>
      <w:r w:rsidR="00462E9F">
        <w:rPr>
          <w:sz w:val="22"/>
          <w:szCs w:val="22"/>
        </w:rPr>
        <w:t>provided for</w:t>
      </w:r>
      <w:r w:rsidR="001C73D3" w:rsidRPr="001C73D3">
        <w:rPr>
          <w:sz w:val="22"/>
          <w:szCs w:val="22"/>
        </w:rPr>
        <w:t xml:space="preserve"> monetary compensation to victims of rape and sexual violence.</w:t>
      </w:r>
      <w:r w:rsidR="001C73D3" w:rsidRPr="001C73D3">
        <w:rPr>
          <w:sz w:val="22"/>
          <w:szCs w:val="22"/>
          <w:vertAlign w:val="superscript"/>
        </w:rPr>
        <w:footnoteReference w:id="61"/>
      </w:r>
      <w:r w:rsidR="001C73D3" w:rsidRPr="001C73D3">
        <w:rPr>
          <w:sz w:val="22"/>
          <w:szCs w:val="22"/>
        </w:rPr>
        <w:t xml:space="preserve"> Later in its chapter on reparations, IVD also recognize</w:t>
      </w:r>
      <w:r w:rsidR="003F2F72">
        <w:rPr>
          <w:sz w:val="22"/>
          <w:szCs w:val="22"/>
        </w:rPr>
        <w:t>d</w:t>
      </w:r>
      <w:r w:rsidR="001C73D3" w:rsidRPr="001C73D3">
        <w:rPr>
          <w:sz w:val="22"/>
          <w:szCs w:val="22"/>
        </w:rPr>
        <w:t xml:space="preserve"> that women are subject to economic, educational, and healthcare inequality and discrimination, and that women working in rural areas face the most severe disadvantages. IVD ma</w:t>
      </w:r>
      <w:r w:rsidR="003F2F72">
        <w:rPr>
          <w:sz w:val="22"/>
          <w:szCs w:val="22"/>
        </w:rPr>
        <w:t>de</w:t>
      </w:r>
      <w:r w:rsidR="001C73D3" w:rsidRPr="001C73D3">
        <w:rPr>
          <w:sz w:val="22"/>
          <w:szCs w:val="22"/>
        </w:rPr>
        <w:t xml:space="preserve"> thirty-five recommendations for combatting discrimination against women, including providing literacy programs, launching awareness campaigns about girls’ education, and establishing reproductive health centers.</w:t>
      </w:r>
      <w:r w:rsidR="00AE4481">
        <w:rPr>
          <w:sz w:val="22"/>
          <w:szCs w:val="22"/>
        </w:rPr>
        <w:t xml:space="preserve"> </w:t>
      </w:r>
      <w:r w:rsidR="001C73D3" w:rsidRPr="001C73D3">
        <w:rPr>
          <w:sz w:val="22"/>
          <w:szCs w:val="22"/>
        </w:rPr>
        <w:t xml:space="preserve"> </w:t>
      </w:r>
      <w:r w:rsidR="008549BA">
        <w:rPr>
          <w:sz w:val="22"/>
          <w:szCs w:val="22"/>
        </w:rPr>
        <w:t xml:space="preserve"> </w:t>
      </w:r>
    </w:p>
    <w:p w14:paraId="00BADF8E" w14:textId="77777777" w:rsidR="00FE4363" w:rsidRDefault="00FE4363" w:rsidP="00526055">
      <w:pPr>
        <w:autoSpaceDE w:val="0"/>
        <w:autoSpaceDN w:val="0"/>
        <w:adjustRightInd w:val="0"/>
        <w:spacing w:line="480" w:lineRule="auto"/>
        <w:rPr>
          <w:b/>
          <w:bCs/>
          <w:i/>
          <w:iCs/>
          <w:sz w:val="28"/>
          <w:szCs w:val="28"/>
        </w:rPr>
      </w:pPr>
    </w:p>
    <w:p w14:paraId="5D947CE8" w14:textId="0B8ECF7F" w:rsidR="00A77032" w:rsidRPr="00B840B7" w:rsidRDefault="008133DC" w:rsidP="00526055">
      <w:pPr>
        <w:autoSpaceDE w:val="0"/>
        <w:autoSpaceDN w:val="0"/>
        <w:adjustRightInd w:val="0"/>
        <w:spacing w:line="480" w:lineRule="auto"/>
        <w:rPr>
          <w:b/>
          <w:bCs/>
          <w:i/>
          <w:iCs/>
        </w:rPr>
      </w:pPr>
      <w:r w:rsidRPr="00B840B7">
        <w:rPr>
          <w:b/>
          <w:bCs/>
          <w:i/>
          <w:iCs/>
        </w:rPr>
        <w:t xml:space="preserve">6.2 </w:t>
      </w:r>
      <w:r w:rsidR="004939A7" w:rsidRPr="00B840B7">
        <w:rPr>
          <w:b/>
          <w:bCs/>
          <w:i/>
          <w:iCs/>
        </w:rPr>
        <w:t xml:space="preserve">Colombia </w:t>
      </w:r>
    </w:p>
    <w:p w14:paraId="51CB153C" w14:textId="610CEEBA" w:rsidR="00AC07B1" w:rsidRPr="00CE30F4" w:rsidRDefault="00697CD3" w:rsidP="00220E57">
      <w:pPr>
        <w:pStyle w:val="NormalWeb"/>
        <w:spacing w:before="0" w:beforeAutospacing="0" w:after="0" w:afterAutospacing="0" w:line="480" w:lineRule="auto"/>
        <w:ind w:firstLine="720"/>
        <w:rPr>
          <w:color w:val="202122"/>
          <w:shd w:val="clear" w:color="auto" w:fill="FFFFFF"/>
        </w:rPr>
      </w:pPr>
      <w:r>
        <w:lastRenderedPageBreak/>
        <w:t>T</w:t>
      </w:r>
      <w:r w:rsidR="00AC07B1" w:rsidRPr="00CE30F4">
        <w:t xml:space="preserve">he emergence of gender-attentive TJ </w:t>
      </w:r>
      <w:r>
        <w:t xml:space="preserve">in Colombia </w:t>
      </w:r>
      <w:r w:rsidR="00AC07B1" w:rsidRPr="00CE30F4">
        <w:t xml:space="preserve">can be traced over </w:t>
      </w:r>
      <w:r w:rsidR="0009525F">
        <w:t>20</w:t>
      </w:r>
      <w:r w:rsidR="00AC07B1" w:rsidRPr="00CE30F4">
        <w:t xml:space="preserve"> years.</w:t>
      </w:r>
      <w:r w:rsidR="00AC07B1" w:rsidRPr="00CE30F4">
        <w:rPr>
          <w:rStyle w:val="FootnoteReference"/>
        </w:rPr>
        <w:footnoteReference w:id="62"/>
      </w:r>
      <w:r w:rsidR="00AC07B1" w:rsidRPr="00CE30F4">
        <w:t xml:space="preserve"> </w:t>
      </w:r>
      <w:r w:rsidR="0009525F">
        <w:t xml:space="preserve"> </w:t>
      </w:r>
      <w:r w:rsidR="0009525F" w:rsidRPr="00AC07B1">
        <w:t>Early judicial decisions by Colombian courts recognized the disproportionate impact of violence on women and called on the state to prevent and redress them.</w:t>
      </w:r>
      <w:r w:rsidR="0009525F" w:rsidRPr="00AC07B1">
        <w:rPr>
          <w:rStyle w:val="FootnoteReference"/>
        </w:rPr>
        <w:footnoteReference w:id="63"/>
      </w:r>
      <w:r w:rsidR="00AC07B1" w:rsidRPr="00CE30F4">
        <w:t xml:space="preserve"> These developments draw on a longer history of feminist activism and legal reform. </w:t>
      </w:r>
      <w:r w:rsidR="0070067C">
        <w:t>Colombia’s</w:t>
      </w:r>
      <w:r w:rsidR="00AC07B1" w:rsidRPr="00AC07B1">
        <w:t xml:space="preserve"> feminist movement </w:t>
      </w:r>
      <w:r w:rsidR="00220E57" w:rsidRPr="00AC07B1">
        <w:t xml:space="preserve">dates </w:t>
      </w:r>
      <w:r w:rsidR="00220E57">
        <w:t>to the 1930s when women first organized to get the vote, which was</w:t>
      </w:r>
      <w:r w:rsidR="00AC07B1" w:rsidRPr="00AC07B1">
        <w:t xml:space="preserve"> eventually granted in 1954.  Colombia was an early ratifier of CEDAW in 1982. </w:t>
      </w:r>
      <w:r w:rsidR="0009525F">
        <w:t xml:space="preserve"> </w:t>
      </w:r>
      <w:r w:rsidR="00220E57">
        <w:rPr>
          <w:color w:val="212121"/>
          <w:shd w:val="clear" w:color="auto" w:fill="FFFFFF"/>
        </w:rPr>
        <w:t xml:space="preserve">Colombia ratified </w:t>
      </w:r>
      <w:r w:rsidR="0009525F">
        <w:rPr>
          <w:color w:val="212121"/>
          <w:shd w:val="clear" w:color="auto" w:fill="FFFFFF"/>
        </w:rPr>
        <w:t>The Inter-American Convention on Violence against Women</w:t>
      </w:r>
      <w:r w:rsidR="00220E57">
        <w:rPr>
          <w:color w:val="212121"/>
          <w:shd w:val="clear" w:color="auto" w:fill="FFFFFF"/>
        </w:rPr>
        <w:t xml:space="preserve"> in 1995, but it took </w:t>
      </w:r>
      <w:r w:rsidR="0009525F">
        <w:rPr>
          <w:color w:val="212121"/>
          <w:shd w:val="clear" w:color="auto" w:fill="FFFFFF"/>
        </w:rPr>
        <w:t xml:space="preserve">until </w:t>
      </w:r>
      <w:r w:rsidR="00AC07B1" w:rsidRPr="00CE30F4">
        <w:rPr>
          <w:color w:val="212121"/>
          <w:shd w:val="clear" w:color="auto" w:fill="FFFFFF"/>
        </w:rPr>
        <w:t>2008</w:t>
      </w:r>
      <w:r w:rsidR="0009525F">
        <w:rPr>
          <w:color w:val="212121"/>
          <w:shd w:val="clear" w:color="auto" w:fill="FFFFFF"/>
        </w:rPr>
        <w:t xml:space="preserve"> to</w:t>
      </w:r>
      <w:r w:rsidR="001D50EC">
        <w:rPr>
          <w:color w:val="212121"/>
          <w:shd w:val="clear" w:color="auto" w:fill="FFFFFF"/>
        </w:rPr>
        <w:t xml:space="preserve"> pass</w:t>
      </w:r>
      <w:r w:rsidR="0009525F">
        <w:rPr>
          <w:color w:val="212121"/>
          <w:shd w:val="clear" w:color="auto" w:fill="FFFFFF"/>
        </w:rPr>
        <w:t xml:space="preserve"> a </w:t>
      </w:r>
      <w:r w:rsidR="00AC07B1" w:rsidRPr="00CE30F4">
        <w:rPr>
          <w:color w:val="202122"/>
          <w:shd w:val="clear" w:color="auto" w:fill="FFFFFF"/>
        </w:rPr>
        <w:t xml:space="preserve">comprehensive law against violence against women.  </w:t>
      </w:r>
    </w:p>
    <w:p w14:paraId="76FA7F00" w14:textId="6A7420EE" w:rsidR="00AC07B1" w:rsidRPr="00AC07B1" w:rsidRDefault="00AC07B1" w:rsidP="00220E57">
      <w:pPr>
        <w:pStyle w:val="NormalWeb"/>
        <w:spacing w:before="0" w:beforeAutospacing="0" w:after="0" w:afterAutospacing="0" w:line="480" w:lineRule="auto"/>
        <w:ind w:firstLine="720"/>
      </w:pPr>
      <w:r w:rsidRPr="00AC07B1">
        <w:t xml:space="preserve">Feminist groups demanded as early as 2011 to include gender issues in then-President Juan Manuel Santos’ peace process, which eventually </w:t>
      </w:r>
      <w:r w:rsidR="0009525F">
        <w:t xml:space="preserve">led tp </w:t>
      </w:r>
      <w:r w:rsidRPr="00AC07B1">
        <w:t xml:space="preserve">the 2016 peace agreement.  In the context of the peace negotiations, a broader Gender sub-commission participated in the conversations in 2014-2015 during the peace negotiations between the government and the FARC guerrillas in Havana.   </w:t>
      </w:r>
    </w:p>
    <w:p w14:paraId="798BC4A2" w14:textId="65936F88" w:rsidR="00AC07B1" w:rsidRPr="005F0A23" w:rsidRDefault="00AC07B1" w:rsidP="005F0A23">
      <w:pPr>
        <w:pStyle w:val="NormalWeb"/>
        <w:spacing w:before="0" w:beforeAutospacing="0" w:after="0" w:afterAutospacing="0" w:line="480" w:lineRule="auto"/>
        <w:ind w:firstLine="720"/>
      </w:pPr>
      <w:r w:rsidRPr="00AC07B1">
        <w:t>In 2011, before the peace negotiations</w:t>
      </w:r>
      <w:r w:rsidR="00E006BE">
        <w:t xml:space="preserve"> advanced</w:t>
      </w:r>
      <w:r w:rsidRPr="00AC07B1">
        <w:t xml:space="preserve">, Colombia adopted a gender attentive reparations program, which is still ongoing.  The 2011 </w:t>
      </w:r>
      <w:r w:rsidRPr="002A06F1">
        <w:t>policy</w:t>
      </w:r>
      <w:r w:rsidRPr="00AC07B1">
        <w:t xml:space="preserve"> mandated “a special program to guarantee women's access to the procedures envisaged for [land] restitution, through preferential service windows, personnel trained in gender issues, measures to facilitate access by women's organizations or networks to reparation processes, as well as areas of care for children and adolescents and the disabled that make up their family group.” It also mandated that the unit responsible for land restitution process applications from female heads of household first. Since </w:t>
      </w:r>
      <w:r w:rsidRPr="00AC07B1">
        <w:lastRenderedPageBreak/>
        <w:t>2011, domestic trials have also investigated paramilitary commanders for gender crimes. In 2014, these investigations were extended to the threats, persecution, torture, enforced disappearances, displacement, and killings that have targeted the LGBTQI+ population.</w:t>
      </w:r>
      <w:r w:rsidRPr="00AC07B1">
        <w:rPr>
          <w:rStyle w:val="FootnoteReference"/>
        </w:rPr>
        <w:footnoteReference w:id="64"/>
      </w:r>
      <w:r w:rsidRPr="00AC07B1">
        <w:rPr>
          <w:lang w:val="en"/>
        </w:rPr>
        <w:t xml:space="preserve"> </w:t>
      </w:r>
      <w:r w:rsidRPr="00AC07B1">
        <w:t xml:space="preserve">Colombia’s TC was one of the most gender-attentive; it consulted with women and gender minority victims to understand their perspectives and needs prior to issuing its report. Furthermore, it was the </w:t>
      </w:r>
      <w:r w:rsidRPr="00AC07B1" w:rsidDel="0005374E">
        <w:t xml:space="preserve">only </w:t>
      </w:r>
      <w:r w:rsidRPr="00AC07B1">
        <w:t xml:space="preserve">TC that addressed </w:t>
      </w:r>
      <w:r w:rsidRPr="00AC07B1" w:rsidDel="0005374E">
        <w:t>sexual violence, gender discrimination, and protection of the LGBTQI+ population</w:t>
      </w:r>
      <w:r w:rsidRPr="00AC07B1">
        <w:t xml:space="preserve"> in its recommendations. </w:t>
      </w:r>
    </w:p>
    <w:p w14:paraId="1FBF0456" w14:textId="766DE579" w:rsidR="00EB0610" w:rsidRPr="00B840B7" w:rsidRDefault="00EB0610" w:rsidP="005F0A23">
      <w:pPr>
        <w:pStyle w:val="NormalWeb"/>
        <w:spacing w:before="0" w:beforeAutospacing="0" w:after="0" w:afterAutospacing="0" w:line="480" w:lineRule="auto"/>
        <w:ind w:firstLine="720"/>
        <w:rPr>
          <w:sz w:val="22"/>
          <w:szCs w:val="22"/>
        </w:rPr>
      </w:pPr>
      <w:r w:rsidRPr="00B840B7">
        <w:rPr>
          <w:sz w:val="22"/>
          <w:szCs w:val="22"/>
        </w:rPr>
        <w:t xml:space="preserve">In the 2010s, </w:t>
      </w:r>
      <w:r w:rsidR="00042639" w:rsidRPr="00B840B7">
        <w:rPr>
          <w:sz w:val="22"/>
          <w:szCs w:val="22"/>
        </w:rPr>
        <w:t xml:space="preserve">rulings in </w:t>
      </w:r>
      <w:r w:rsidRPr="00B840B7">
        <w:rPr>
          <w:sz w:val="22"/>
          <w:szCs w:val="22"/>
        </w:rPr>
        <w:t xml:space="preserve">cases </w:t>
      </w:r>
      <w:r w:rsidR="00F77E73" w:rsidRPr="00B840B7">
        <w:rPr>
          <w:sz w:val="22"/>
          <w:szCs w:val="22"/>
        </w:rPr>
        <w:t>a</w:t>
      </w:r>
      <w:r w:rsidRPr="00B840B7">
        <w:rPr>
          <w:sz w:val="22"/>
          <w:szCs w:val="22"/>
        </w:rPr>
        <w:t>gainst paramilitary groups and reparation programs further advanced the investigation and redress</w:t>
      </w:r>
      <w:r w:rsidR="005E1AEA" w:rsidRPr="00B840B7">
        <w:rPr>
          <w:sz w:val="22"/>
          <w:szCs w:val="22"/>
        </w:rPr>
        <w:t xml:space="preserve"> of</w:t>
      </w:r>
      <w:r w:rsidRPr="00B840B7">
        <w:rPr>
          <w:sz w:val="22"/>
          <w:szCs w:val="22"/>
        </w:rPr>
        <w:t xml:space="preserve"> </w:t>
      </w:r>
      <w:r w:rsidR="00617598" w:rsidRPr="00B840B7">
        <w:rPr>
          <w:sz w:val="22"/>
          <w:szCs w:val="22"/>
        </w:rPr>
        <w:t>gender harms</w:t>
      </w:r>
      <w:r w:rsidRPr="00B840B7">
        <w:rPr>
          <w:sz w:val="22"/>
          <w:szCs w:val="22"/>
        </w:rPr>
        <w:t>.</w:t>
      </w:r>
      <w:r w:rsidRPr="00B840B7">
        <w:rPr>
          <w:rStyle w:val="FootnoteReference"/>
          <w:sz w:val="22"/>
          <w:szCs w:val="22"/>
        </w:rPr>
        <w:footnoteReference w:id="65"/>
      </w:r>
      <w:r w:rsidRPr="00B840B7">
        <w:rPr>
          <w:sz w:val="22"/>
          <w:szCs w:val="22"/>
        </w:rPr>
        <w:t xml:space="preserve"> Recently, the TC and the Special Jurisdiction for Peace (JEP)</w:t>
      </w:r>
      <w:r w:rsidR="008C5585" w:rsidRPr="00B840B7">
        <w:rPr>
          <w:sz w:val="22"/>
          <w:szCs w:val="22"/>
        </w:rPr>
        <w:t xml:space="preserve">, the extrajudicial court system established </w:t>
      </w:r>
      <w:r w:rsidR="00ED560F" w:rsidRPr="00B840B7">
        <w:rPr>
          <w:sz w:val="22"/>
          <w:szCs w:val="22"/>
        </w:rPr>
        <w:t>in 2017</w:t>
      </w:r>
      <w:r w:rsidR="007C0881" w:rsidRPr="00B840B7">
        <w:rPr>
          <w:sz w:val="22"/>
          <w:szCs w:val="22"/>
        </w:rPr>
        <w:t xml:space="preserve"> </w:t>
      </w:r>
      <w:r w:rsidR="008C5585" w:rsidRPr="00B840B7">
        <w:rPr>
          <w:sz w:val="22"/>
          <w:szCs w:val="22"/>
        </w:rPr>
        <w:t>to try ex-combatants,</w:t>
      </w:r>
      <w:r w:rsidRPr="00B840B7">
        <w:rPr>
          <w:sz w:val="22"/>
          <w:szCs w:val="22"/>
        </w:rPr>
        <w:t xml:space="preserve"> have taken actions to address </w:t>
      </w:r>
      <w:r w:rsidR="00E006BE">
        <w:rPr>
          <w:sz w:val="22"/>
          <w:szCs w:val="22"/>
        </w:rPr>
        <w:t xml:space="preserve">gender crimes </w:t>
      </w:r>
      <w:r w:rsidRPr="00B840B7">
        <w:rPr>
          <w:sz w:val="22"/>
          <w:szCs w:val="22"/>
        </w:rPr>
        <w:t xml:space="preserve">and highlight the degree of violence that occurred against women and gender minorities during the armed conflict in the country. </w:t>
      </w:r>
    </w:p>
    <w:p w14:paraId="17CD79ED" w14:textId="501FD4A4" w:rsidR="007832D9" w:rsidRPr="00B840B7" w:rsidRDefault="007832D9" w:rsidP="00526055">
      <w:pPr>
        <w:pStyle w:val="NormalWeb"/>
        <w:spacing w:before="0" w:beforeAutospacing="0" w:after="0" w:afterAutospacing="0" w:line="480" w:lineRule="auto"/>
        <w:ind w:firstLine="720"/>
        <w:rPr>
          <w:sz w:val="22"/>
          <w:szCs w:val="22"/>
        </w:rPr>
      </w:pPr>
      <w:r w:rsidRPr="00B840B7">
        <w:rPr>
          <w:sz w:val="22"/>
          <w:szCs w:val="22"/>
        </w:rPr>
        <w:t>The Colombian experience suggests positive</w:t>
      </w:r>
      <w:r w:rsidR="006A568D" w:rsidRPr="00B840B7">
        <w:rPr>
          <w:sz w:val="22"/>
          <w:szCs w:val="22"/>
        </w:rPr>
        <w:t xml:space="preserve"> </w:t>
      </w:r>
      <w:r w:rsidR="002203BB" w:rsidRPr="00B840B7">
        <w:rPr>
          <w:sz w:val="22"/>
          <w:szCs w:val="22"/>
        </w:rPr>
        <w:t>spillover</w:t>
      </w:r>
      <w:r w:rsidRPr="00B840B7">
        <w:rPr>
          <w:sz w:val="22"/>
          <w:szCs w:val="22"/>
        </w:rPr>
        <w:t xml:space="preserve">, not a crowding out effect, in the allocation of </w:t>
      </w:r>
      <w:r w:rsidR="002203BB" w:rsidRPr="00B840B7">
        <w:rPr>
          <w:sz w:val="22"/>
          <w:szCs w:val="22"/>
        </w:rPr>
        <w:t xml:space="preserve">gender </w:t>
      </w:r>
      <w:r w:rsidRPr="00B840B7">
        <w:rPr>
          <w:sz w:val="22"/>
          <w:szCs w:val="22"/>
        </w:rPr>
        <w:t xml:space="preserve">justice. </w:t>
      </w:r>
      <w:r w:rsidR="008549BA">
        <w:rPr>
          <w:sz w:val="22"/>
          <w:szCs w:val="22"/>
        </w:rPr>
        <w:t xml:space="preserve">  In </w:t>
      </w:r>
      <w:r w:rsidR="00EB0610" w:rsidRPr="00B840B7">
        <w:rPr>
          <w:sz w:val="22"/>
          <w:szCs w:val="22"/>
        </w:rPr>
        <w:t xml:space="preserve">2011, </w:t>
      </w:r>
      <w:r w:rsidR="00E006BE">
        <w:rPr>
          <w:sz w:val="22"/>
          <w:szCs w:val="22"/>
        </w:rPr>
        <w:t xml:space="preserve">gender crimes </w:t>
      </w:r>
      <w:r w:rsidR="008549BA" w:rsidRPr="00B840B7">
        <w:rPr>
          <w:sz w:val="22"/>
          <w:szCs w:val="22"/>
        </w:rPr>
        <w:t>largely focusing on the experiences of women</w:t>
      </w:r>
      <w:r w:rsidR="008549BA">
        <w:rPr>
          <w:sz w:val="22"/>
          <w:szCs w:val="22"/>
        </w:rPr>
        <w:t xml:space="preserve"> were </w:t>
      </w:r>
      <w:r w:rsidR="00EB0610" w:rsidRPr="00B840B7">
        <w:rPr>
          <w:sz w:val="22"/>
          <w:szCs w:val="22"/>
        </w:rPr>
        <w:t>investigated in the trials against paramilitary commanders</w:t>
      </w:r>
      <w:r w:rsidR="008549BA">
        <w:rPr>
          <w:sz w:val="22"/>
          <w:szCs w:val="22"/>
        </w:rPr>
        <w:t xml:space="preserve">. </w:t>
      </w:r>
      <w:r w:rsidRPr="00B840B7">
        <w:rPr>
          <w:sz w:val="22"/>
          <w:szCs w:val="22"/>
        </w:rPr>
        <w:t xml:space="preserve"> </w:t>
      </w:r>
      <w:r w:rsidR="00EB0610" w:rsidRPr="00B840B7">
        <w:rPr>
          <w:sz w:val="22"/>
          <w:szCs w:val="22"/>
        </w:rPr>
        <w:t>In 2014, this investigation was extended to the LGBT</w:t>
      </w:r>
      <w:r w:rsidR="002A0F6B" w:rsidRPr="00B840B7">
        <w:rPr>
          <w:sz w:val="22"/>
          <w:szCs w:val="22"/>
        </w:rPr>
        <w:t>QI</w:t>
      </w:r>
      <w:r w:rsidR="00EB0610" w:rsidRPr="00B840B7">
        <w:rPr>
          <w:sz w:val="22"/>
          <w:szCs w:val="22"/>
        </w:rPr>
        <w:t>+ population, including threats, persecution, torture, enforced disappearances, displacement, and killings based on their identity and sexual orientation.</w:t>
      </w:r>
      <w:r w:rsidR="00EB0610" w:rsidRPr="00B840B7">
        <w:rPr>
          <w:rStyle w:val="FootnoteReference"/>
          <w:sz w:val="22"/>
          <w:szCs w:val="22"/>
        </w:rPr>
        <w:footnoteReference w:id="66"/>
      </w:r>
      <w:r w:rsidR="00EB0610" w:rsidRPr="00B840B7">
        <w:rPr>
          <w:sz w:val="22"/>
          <w:szCs w:val="22"/>
          <w:lang w:val="en"/>
        </w:rPr>
        <w:t xml:space="preserve"> </w:t>
      </w:r>
      <w:r w:rsidR="00617598" w:rsidRPr="00B840B7">
        <w:rPr>
          <w:sz w:val="22"/>
          <w:szCs w:val="22"/>
        </w:rPr>
        <w:t>Colombia’s initial focus on sexual violence against girls and women did not crowd out attention to other groups and other forms of gender violence, but appeared to contribute to later attention to gender crimes against LGBTQI</w:t>
      </w:r>
      <w:r w:rsidR="003C08F6" w:rsidRPr="00B840B7">
        <w:rPr>
          <w:sz w:val="22"/>
          <w:szCs w:val="22"/>
        </w:rPr>
        <w:t>+</w:t>
      </w:r>
      <w:r w:rsidR="00617598" w:rsidRPr="00B840B7">
        <w:rPr>
          <w:sz w:val="22"/>
          <w:szCs w:val="22"/>
        </w:rPr>
        <w:t xml:space="preserve"> communities. </w:t>
      </w:r>
    </w:p>
    <w:p w14:paraId="12AA706B" w14:textId="3AA0F79B" w:rsidR="00661A6B" w:rsidRPr="00B840B7" w:rsidRDefault="008C372E" w:rsidP="00526055">
      <w:pPr>
        <w:pStyle w:val="NormalWeb"/>
        <w:spacing w:before="0" w:beforeAutospacing="0" w:after="0" w:afterAutospacing="0" w:line="480" w:lineRule="auto"/>
        <w:ind w:firstLine="720"/>
        <w:rPr>
          <w:sz w:val="22"/>
          <w:szCs w:val="22"/>
        </w:rPr>
      </w:pPr>
      <w:r w:rsidRPr="00B840B7">
        <w:rPr>
          <w:sz w:val="22"/>
          <w:szCs w:val="22"/>
        </w:rPr>
        <w:lastRenderedPageBreak/>
        <w:t xml:space="preserve">Domestic politics and activism played a critical role in shaping the nature and adoption of these TJ policies. </w:t>
      </w:r>
      <w:r w:rsidR="00EB0610" w:rsidRPr="00B840B7">
        <w:rPr>
          <w:sz w:val="22"/>
          <w:szCs w:val="22"/>
        </w:rPr>
        <w:t xml:space="preserve">The establishment of the Colombian Truth Commission was a critical element of the </w:t>
      </w:r>
      <w:r w:rsidR="00242D9B" w:rsidRPr="00B840B7">
        <w:rPr>
          <w:sz w:val="22"/>
          <w:szCs w:val="22"/>
        </w:rPr>
        <w:t>TJ</w:t>
      </w:r>
      <w:r w:rsidR="00EB0610" w:rsidRPr="00B840B7">
        <w:rPr>
          <w:sz w:val="22"/>
          <w:szCs w:val="22"/>
        </w:rPr>
        <w:t xml:space="preserve"> </w:t>
      </w:r>
      <w:r w:rsidR="00E74465" w:rsidRPr="00B840B7">
        <w:rPr>
          <w:sz w:val="22"/>
          <w:szCs w:val="22"/>
        </w:rPr>
        <w:t xml:space="preserve">process </w:t>
      </w:r>
      <w:r w:rsidR="00EB0610" w:rsidRPr="00B840B7">
        <w:rPr>
          <w:sz w:val="22"/>
          <w:szCs w:val="22"/>
        </w:rPr>
        <w:t>designed to fulfill the Peace Agreement between the Colombian Government and the former guerrilla group</w:t>
      </w:r>
      <w:r w:rsidR="00BE5ABD" w:rsidRPr="00B840B7">
        <w:rPr>
          <w:sz w:val="22"/>
          <w:szCs w:val="22"/>
        </w:rPr>
        <w:t>,</w:t>
      </w:r>
      <w:r w:rsidR="00EB0610" w:rsidRPr="00B840B7">
        <w:rPr>
          <w:sz w:val="22"/>
          <w:szCs w:val="22"/>
        </w:rPr>
        <w:t xml:space="preserve"> </w:t>
      </w:r>
      <w:r w:rsidR="00543578" w:rsidRPr="00B840B7">
        <w:rPr>
          <w:sz w:val="22"/>
          <w:szCs w:val="22"/>
        </w:rPr>
        <w:t>The Revolutionary Armed Forces of Colombia – People's Army (</w:t>
      </w:r>
      <w:r w:rsidR="00EB0610" w:rsidRPr="00B840B7">
        <w:rPr>
          <w:sz w:val="22"/>
          <w:szCs w:val="22"/>
        </w:rPr>
        <w:t>FARC-EP</w:t>
      </w:r>
      <w:r w:rsidR="00C1416C" w:rsidRPr="00B840B7">
        <w:rPr>
          <w:sz w:val="22"/>
          <w:szCs w:val="22"/>
        </w:rPr>
        <w:t>)</w:t>
      </w:r>
      <w:r w:rsidR="00EB0610" w:rsidRPr="00B840B7">
        <w:rPr>
          <w:sz w:val="22"/>
          <w:szCs w:val="22"/>
        </w:rPr>
        <w:t>, reached in 2016.</w:t>
      </w:r>
      <w:r w:rsidR="00661A6B" w:rsidRPr="00B840B7">
        <w:rPr>
          <w:sz w:val="22"/>
          <w:szCs w:val="22"/>
        </w:rPr>
        <w:t xml:space="preserve"> The Peace Agreement incorporated inclusive gender language, in part because of the extensive involvement of women and LGBTQ</w:t>
      </w:r>
      <w:r w:rsidR="00F14747" w:rsidRPr="00B840B7">
        <w:rPr>
          <w:sz w:val="22"/>
          <w:szCs w:val="22"/>
        </w:rPr>
        <w:t>I</w:t>
      </w:r>
      <w:r w:rsidR="00661A6B" w:rsidRPr="00B840B7">
        <w:rPr>
          <w:sz w:val="22"/>
          <w:szCs w:val="22"/>
        </w:rPr>
        <w:t>+ activists in the</w:t>
      </w:r>
      <w:r w:rsidR="00520839" w:rsidRPr="00B840B7">
        <w:rPr>
          <w:sz w:val="22"/>
          <w:szCs w:val="22"/>
        </w:rPr>
        <w:t xml:space="preserve"> </w:t>
      </w:r>
      <w:r w:rsidR="00661A6B" w:rsidRPr="00B840B7">
        <w:rPr>
          <w:sz w:val="22"/>
          <w:szCs w:val="22"/>
        </w:rPr>
        <w:t xml:space="preserve">peace and TJ processes in Colombia. </w:t>
      </w:r>
    </w:p>
    <w:p w14:paraId="2F76E107" w14:textId="7CCC78A0" w:rsidR="00661A6B" w:rsidRPr="00B840B7" w:rsidRDefault="00661A6B" w:rsidP="00526055">
      <w:pPr>
        <w:pStyle w:val="NormalWeb"/>
        <w:spacing w:before="0" w:beforeAutospacing="0" w:after="0" w:afterAutospacing="0" w:line="480" w:lineRule="auto"/>
        <w:ind w:firstLine="720"/>
        <w:rPr>
          <w:sz w:val="22"/>
          <w:szCs w:val="22"/>
        </w:rPr>
      </w:pPr>
      <w:r w:rsidRPr="00B840B7">
        <w:rPr>
          <w:sz w:val="22"/>
          <w:szCs w:val="22"/>
        </w:rPr>
        <w:t>The gender language</w:t>
      </w:r>
      <w:r w:rsidR="00837BE7" w:rsidRPr="00B840B7">
        <w:rPr>
          <w:sz w:val="22"/>
          <w:szCs w:val="22"/>
        </w:rPr>
        <w:t>,</w:t>
      </w:r>
      <w:r w:rsidRPr="00B840B7">
        <w:rPr>
          <w:sz w:val="22"/>
          <w:szCs w:val="22"/>
        </w:rPr>
        <w:t xml:space="preserve"> in turn</w:t>
      </w:r>
      <w:r w:rsidR="00837BE7" w:rsidRPr="00B840B7">
        <w:rPr>
          <w:sz w:val="22"/>
          <w:szCs w:val="22"/>
        </w:rPr>
        <w:t>,</w:t>
      </w:r>
      <w:r w:rsidRPr="00B840B7">
        <w:rPr>
          <w:sz w:val="22"/>
          <w:szCs w:val="22"/>
        </w:rPr>
        <w:t xml:space="preserve"> led to resistance and pushback from conservative anti-LGBT</w:t>
      </w:r>
      <w:r w:rsidR="001E35BF" w:rsidRPr="00B840B7">
        <w:rPr>
          <w:sz w:val="22"/>
          <w:szCs w:val="22"/>
        </w:rPr>
        <w:t>QI</w:t>
      </w:r>
      <w:r w:rsidRPr="00B840B7">
        <w:rPr>
          <w:sz w:val="22"/>
          <w:szCs w:val="22"/>
        </w:rPr>
        <w:t>+ movements. In a national plebiscite on the Peace Agreement, it was narrowly defeated, in part by actors demanding greater accountability for atrocities, and in part by conservative</w:t>
      </w:r>
      <w:r w:rsidR="00F77E73" w:rsidRPr="00B840B7">
        <w:rPr>
          <w:sz w:val="22"/>
          <w:szCs w:val="22"/>
        </w:rPr>
        <w:t xml:space="preserve"> and religious </w:t>
      </w:r>
      <w:r w:rsidRPr="00B840B7">
        <w:rPr>
          <w:sz w:val="22"/>
          <w:szCs w:val="22"/>
        </w:rPr>
        <w:t>groups who opposed what they called the “gender ideology” in the agreement.</w:t>
      </w:r>
      <w:r w:rsidRPr="00B840B7">
        <w:rPr>
          <w:rStyle w:val="FootnoteReference"/>
          <w:sz w:val="22"/>
          <w:szCs w:val="22"/>
        </w:rPr>
        <w:footnoteReference w:id="67"/>
      </w:r>
      <w:r w:rsidRPr="00B840B7">
        <w:rPr>
          <w:sz w:val="22"/>
          <w:szCs w:val="22"/>
        </w:rPr>
        <w:t xml:space="preserve"> President Santos </w:t>
      </w:r>
      <w:r w:rsidR="00D52F58" w:rsidRPr="00B840B7">
        <w:rPr>
          <w:sz w:val="22"/>
          <w:szCs w:val="22"/>
        </w:rPr>
        <w:t xml:space="preserve">renegotiated some of the </w:t>
      </w:r>
      <w:r w:rsidRPr="00B840B7">
        <w:rPr>
          <w:sz w:val="22"/>
          <w:szCs w:val="22"/>
        </w:rPr>
        <w:t xml:space="preserve">language of the agreement, including </w:t>
      </w:r>
      <w:r w:rsidR="00D52F58" w:rsidRPr="00B840B7">
        <w:rPr>
          <w:sz w:val="22"/>
          <w:szCs w:val="22"/>
        </w:rPr>
        <w:t xml:space="preserve">language on </w:t>
      </w:r>
      <w:r w:rsidRPr="00B840B7">
        <w:rPr>
          <w:sz w:val="22"/>
          <w:szCs w:val="22"/>
        </w:rPr>
        <w:t>gender</w:t>
      </w:r>
      <w:r w:rsidR="00D52F58" w:rsidRPr="00B840B7">
        <w:rPr>
          <w:sz w:val="22"/>
          <w:szCs w:val="22"/>
        </w:rPr>
        <w:t xml:space="preserve">, </w:t>
      </w:r>
      <w:r w:rsidRPr="00B840B7">
        <w:rPr>
          <w:sz w:val="22"/>
          <w:szCs w:val="22"/>
        </w:rPr>
        <w:t xml:space="preserve">and secured passage of the Peace Agreement from the national Congress. </w:t>
      </w:r>
    </w:p>
    <w:p w14:paraId="3379C849" w14:textId="4A6A31CC" w:rsidR="00A46306" w:rsidRPr="00B840B7" w:rsidRDefault="00E006BE" w:rsidP="00AD76C6">
      <w:pPr>
        <w:autoSpaceDE w:val="0"/>
        <w:autoSpaceDN w:val="0"/>
        <w:adjustRightInd w:val="0"/>
        <w:spacing w:line="480" w:lineRule="auto"/>
        <w:ind w:firstLine="720"/>
        <w:rPr>
          <w:sz w:val="22"/>
          <w:szCs w:val="22"/>
        </w:rPr>
      </w:pPr>
      <w:r>
        <w:rPr>
          <w:sz w:val="22"/>
          <w:szCs w:val="22"/>
        </w:rPr>
        <w:t>T</w:t>
      </w:r>
      <w:r w:rsidR="00661A6B" w:rsidRPr="00B840B7">
        <w:rPr>
          <w:sz w:val="22"/>
          <w:szCs w:val="22"/>
        </w:rPr>
        <w:t>his pushback</w:t>
      </w:r>
      <w:r w:rsidR="00EA139E" w:rsidRPr="00B840B7">
        <w:rPr>
          <w:sz w:val="22"/>
          <w:szCs w:val="22"/>
        </w:rPr>
        <w:t xml:space="preserve"> </w:t>
      </w:r>
      <w:r w:rsidR="00661A6B" w:rsidRPr="00B840B7">
        <w:rPr>
          <w:sz w:val="22"/>
          <w:szCs w:val="22"/>
        </w:rPr>
        <w:t xml:space="preserve">did not deter the TC’s </w:t>
      </w:r>
      <w:r w:rsidR="00D961A8" w:rsidRPr="00B840B7">
        <w:rPr>
          <w:sz w:val="22"/>
          <w:szCs w:val="22"/>
        </w:rPr>
        <w:t>engagement</w:t>
      </w:r>
      <w:r w:rsidR="00661A6B" w:rsidRPr="00B840B7">
        <w:rPr>
          <w:sz w:val="22"/>
          <w:szCs w:val="22"/>
        </w:rPr>
        <w:t xml:space="preserve"> </w:t>
      </w:r>
      <w:r w:rsidR="00D961A8" w:rsidRPr="00B840B7">
        <w:rPr>
          <w:sz w:val="22"/>
          <w:szCs w:val="22"/>
        </w:rPr>
        <w:t>with</w:t>
      </w:r>
      <w:r w:rsidR="00661A6B" w:rsidRPr="00B840B7">
        <w:rPr>
          <w:sz w:val="22"/>
          <w:szCs w:val="22"/>
        </w:rPr>
        <w:t xml:space="preserve"> gender. I</w:t>
      </w:r>
      <w:r w:rsidR="00EB0610" w:rsidRPr="00B840B7">
        <w:rPr>
          <w:sz w:val="22"/>
          <w:szCs w:val="22"/>
        </w:rPr>
        <w:t>ts Final Report</w:t>
      </w:r>
      <w:r w:rsidR="00351EC0" w:rsidRPr="00B840B7">
        <w:rPr>
          <w:sz w:val="22"/>
          <w:szCs w:val="22"/>
        </w:rPr>
        <w:t xml:space="preserve"> </w:t>
      </w:r>
      <w:r w:rsidR="00661A6B" w:rsidRPr="00B840B7">
        <w:rPr>
          <w:sz w:val="22"/>
          <w:szCs w:val="22"/>
        </w:rPr>
        <w:t>included</w:t>
      </w:r>
      <w:r w:rsidR="00EB0610" w:rsidRPr="00B840B7">
        <w:rPr>
          <w:sz w:val="22"/>
          <w:szCs w:val="22"/>
        </w:rPr>
        <w:t xml:space="preserve"> </w:t>
      </w:r>
      <w:r w:rsidR="00351EC0" w:rsidRPr="00B840B7">
        <w:rPr>
          <w:sz w:val="22"/>
          <w:szCs w:val="22"/>
        </w:rPr>
        <w:t>a chapter titled “</w:t>
      </w:r>
      <w:r w:rsidR="00EB0610" w:rsidRPr="00B840B7">
        <w:rPr>
          <w:sz w:val="22"/>
          <w:szCs w:val="22"/>
        </w:rPr>
        <w:t>My Body is the Truth,</w:t>
      </w:r>
      <w:r w:rsidR="00351EC0" w:rsidRPr="00B840B7">
        <w:rPr>
          <w:sz w:val="22"/>
          <w:szCs w:val="22"/>
        </w:rPr>
        <w:t>”</w:t>
      </w:r>
      <w:r w:rsidR="00EB0610" w:rsidRPr="00B840B7">
        <w:rPr>
          <w:sz w:val="22"/>
          <w:szCs w:val="22"/>
        </w:rPr>
        <w:t xml:space="preserve"> </w:t>
      </w:r>
      <w:r w:rsidR="00661A6B" w:rsidRPr="00B840B7">
        <w:rPr>
          <w:sz w:val="22"/>
          <w:szCs w:val="22"/>
        </w:rPr>
        <w:t xml:space="preserve">providing a </w:t>
      </w:r>
      <w:r w:rsidR="00EB0610" w:rsidRPr="00B840B7">
        <w:rPr>
          <w:sz w:val="22"/>
          <w:szCs w:val="22"/>
        </w:rPr>
        <w:t>comprehensive analysis of violence against women and the LGBT</w:t>
      </w:r>
      <w:r w:rsidR="00FF2C04" w:rsidRPr="00B840B7">
        <w:rPr>
          <w:sz w:val="22"/>
          <w:szCs w:val="22"/>
        </w:rPr>
        <w:t>QI</w:t>
      </w:r>
      <w:r w:rsidR="00EB0610" w:rsidRPr="00B840B7">
        <w:rPr>
          <w:sz w:val="22"/>
          <w:szCs w:val="22"/>
        </w:rPr>
        <w:t>+ population</w:t>
      </w:r>
      <w:r w:rsidR="00661A6B" w:rsidRPr="00B840B7">
        <w:rPr>
          <w:sz w:val="22"/>
          <w:szCs w:val="22"/>
        </w:rPr>
        <w:t xml:space="preserve">, one of the </w:t>
      </w:r>
      <w:r w:rsidR="00EB0610" w:rsidRPr="00B840B7">
        <w:rPr>
          <w:sz w:val="22"/>
          <w:szCs w:val="22"/>
        </w:rPr>
        <w:t>most extensive review</w:t>
      </w:r>
      <w:r w:rsidR="00661A6B" w:rsidRPr="00B840B7">
        <w:rPr>
          <w:sz w:val="22"/>
          <w:szCs w:val="22"/>
        </w:rPr>
        <w:t>s</w:t>
      </w:r>
      <w:r w:rsidR="00EB0610" w:rsidRPr="00B840B7">
        <w:rPr>
          <w:sz w:val="22"/>
          <w:szCs w:val="22"/>
        </w:rPr>
        <w:t xml:space="preserve"> of its kind to be conducted by a </w:t>
      </w:r>
      <w:r w:rsidR="00351EC0" w:rsidRPr="00B840B7">
        <w:rPr>
          <w:sz w:val="22"/>
          <w:szCs w:val="22"/>
        </w:rPr>
        <w:t>TC</w:t>
      </w:r>
      <w:r w:rsidR="00EB0610" w:rsidRPr="00B840B7">
        <w:rPr>
          <w:sz w:val="22"/>
          <w:szCs w:val="22"/>
        </w:rPr>
        <w:t>. The report</w:t>
      </w:r>
      <w:r w:rsidR="00FE499B" w:rsidRPr="00B840B7">
        <w:rPr>
          <w:sz w:val="22"/>
          <w:szCs w:val="22"/>
        </w:rPr>
        <w:t>’</w:t>
      </w:r>
      <w:r w:rsidR="00EB0610" w:rsidRPr="00B840B7">
        <w:rPr>
          <w:sz w:val="22"/>
          <w:szCs w:val="22"/>
        </w:rPr>
        <w:t>s power is not only in its recognition of sexual violence as a weapon of war employed by state and non-state actors, but also in its acknowledgment of the instrumental use of other human rights violations, such as forced displacement and torture, to gain political and territorial control. Sexual violence, the report highlights, is a systemic and widespread violation specifically targeting individuals based on their gender identity. The Commission further recognized that the patriarchal nature of violence in Colombia was one of the underlying causes of the armed conflict.</w:t>
      </w:r>
    </w:p>
    <w:p w14:paraId="3388DA5C" w14:textId="1B100C93" w:rsidR="00D20F34" w:rsidRPr="00B840B7" w:rsidRDefault="0059168B" w:rsidP="00526055">
      <w:pPr>
        <w:pStyle w:val="NormalWeb"/>
        <w:spacing w:before="0" w:beforeAutospacing="0" w:after="0" w:afterAutospacing="0" w:line="480" w:lineRule="auto"/>
        <w:ind w:firstLine="720"/>
        <w:rPr>
          <w:sz w:val="22"/>
          <w:szCs w:val="22"/>
        </w:rPr>
      </w:pPr>
      <w:r w:rsidRPr="00B840B7">
        <w:rPr>
          <w:sz w:val="22"/>
          <w:szCs w:val="22"/>
        </w:rPr>
        <w:t>T</w:t>
      </w:r>
      <w:r w:rsidR="00480176" w:rsidRPr="00B840B7">
        <w:rPr>
          <w:sz w:val="22"/>
          <w:szCs w:val="22"/>
        </w:rPr>
        <w:t>he</w:t>
      </w:r>
      <w:r w:rsidRPr="00B840B7">
        <w:rPr>
          <w:sz w:val="22"/>
          <w:szCs w:val="22"/>
        </w:rPr>
        <w:t xml:space="preserve"> </w:t>
      </w:r>
      <w:r w:rsidR="00480176" w:rsidRPr="00B840B7">
        <w:rPr>
          <w:sz w:val="22"/>
          <w:szCs w:val="22"/>
        </w:rPr>
        <w:t>case</w:t>
      </w:r>
      <w:r w:rsidRPr="00B840B7">
        <w:rPr>
          <w:sz w:val="22"/>
          <w:szCs w:val="22"/>
        </w:rPr>
        <w:t xml:space="preserve">s of Tunisia and Colombia highlight the </w:t>
      </w:r>
      <w:r w:rsidR="00617598" w:rsidRPr="00B840B7">
        <w:rPr>
          <w:sz w:val="22"/>
          <w:szCs w:val="22"/>
        </w:rPr>
        <w:t xml:space="preserve">importance of </w:t>
      </w:r>
      <w:r w:rsidRPr="00B840B7">
        <w:rPr>
          <w:sz w:val="22"/>
          <w:szCs w:val="22"/>
        </w:rPr>
        <w:t>domestic activism</w:t>
      </w:r>
      <w:r w:rsidR="00480176" w:rsidRPr="00B840B7">
        <w:rPr>
          <w:sz w:val="22"/>
          <w:szCs w:val="22"/>
        </w:rPr>
        <w:t xml:space="preserve"> and regional diffusion processes </w:t>
      </w:r>
      <w:r w:rsidRPr="00B840B7">
        <w:rPr>
          <w:sz w:val="22"/>
          <w:szCs w:val="22"/>
        </w:rPr>
        <w:t>in explaining the emergence and content of gender-attentive TJ policies.</w:t>
      </w:r>
      <w:r w:rsidR="00216DB2" w:rsidRPr="00B840B7">
        <w:rPr>
          <w:sz w:val="22"/>
          <w:szCs w:val="22"/>
        </w:rPr>
        <w:t xml:space="preserve"> </w:t>
      </w:r>
      <w:r w:rsidR="00D52F58" w:rsidRPr="00B840B7">
        <w:rPr>
          <w:sz w:val="22"/>
          <w:szCs w:val="22"/>
        </w:rPr>
        <w:t>I</w:t>
      </w:r>
      <w:r w:rsidR="00216DB2" w:rsidRPr="00B840B7">
        <w:rPr>
          <w:sz w:val="22"/>
          <w:szCs w:val="22"/>
        </w:rPr>
        <w:t xml:space="preserve">n the case of Tunisia, we see that the Moroccan precedent was </w:t>
      </w:r>
      <w:r w:rsidR="00D52F58" w:rsidRPr="00B840B7">
        <w:rPr>
          <w:sz w:val="22"/>
          <w:szCs w:val="22"/>
        </w:rPr>
        <w:t xml:space="preserve">very </w:t>
      </w:r>
      <w:r w:rsidR="00216DB2" w:rsidRPr="00B840B7">
        <w:rPr>
          <w:sz w:val="22"/>
          <w:szCs w:val="22"/>
        </w:rPr>
        <w:t xml:space="preserve">important. Colombia was </w:t>
      </w:r>
      <w:r w:rsidR="00D52F58" w:rsidRPr="00B840B7">
        <w:rPr>
          <w:sz w:val="22"/>
          <w:szCs w:val="22"/>
        </w:rPr>
        <w:t xml:space="preserve">also </w:t>
      </w:r>
      <w:r w:rsidR="00216DB2" w:rsidRPr="00B840B7">
        <w:rPr>
          <w:sz w:val="22"/>
          <w:szCs w:val="22"/>
        </w:rPr>
        <w:t xml:space="preserve">attentive to other TC </w:t>
      </w:r>
      <w:r w:rsidR="00216DB2" w:rsidRPr="00B840B7">
        <w:rPr>
          <w:sz w:val="22"/>
          <w:szCs w:val="22"/>
        </w:rPr>
        <w:lastRenderedPageBreak/>
        <w:t xml:space="preserve">experiences in Latin America, especially the most recent case in Peru. </w:t>
      </w:r>
      <w:r w:rsidR="00587429">
        <w:rPr>
          <w:sz w:val="22"/>
          <w:szCs w:val="22"/>
        </w:rPr>
        <w:t xml:space="preserve">Finally, </w:t>
      </w:r>
      <w:r w:rsidR="0031684C">
        <w:rPr>
          <w:sz w:val="22"/>
          <w:szCs w:val="22"/>
        </w:rPr>
        <w:t xml:space="preserve">the Colombia case illustrates positive spillover: attention to violence against women did not crowd out attention to </w:t>
      </w:r>
      <w:r w:rsidR="00C96CDD">
        <w:rPr>
          <w:sz w:val="22"/>
          <w:szCs w:val="22"/>
        </w:rPr>
        <w:t xml:space="preserve">violence against LGBTQI+ </w:t>
      </w:r>
      <w:r w:rsidR="00622579">
        <w:rPr>
          <w:sz w:val="22"/>
          <w:szCs w:val="22"/>
        </w:rPr>
        <w:t xml:space="preserve">individuals, rather, </w:t>
      </w:r>
      <w:r w:rsidR="00721A57">
        <w:rPr>
          <w:sz w:val="22"/>
          <w:szCs w:val="22"/>
        </w:rPr>
        <w:t xml:space="preserve">attention to the latter issue </w:t>
      </w:r>
      <w:r w:rsidR="00B54B6B">
        <w:rPr>
          <w:sz w:val="22"/>
          <w:szCs w:val="22"/>
        </w:rPr>
        <w:t xml:space="preserve">arguably </w:t>
      </w:r>
      <w:r w:rsidR="00721A57">
        <w:rPr>
          <w:sz w:val="22"/>
          <w:szCs w:val="22"/>
        </w:rPr>
        <w:t>grew out of attention to the former.</w:t>
      </w:r>
    </w:p>
    <w:p w14:paraId="4C782035" w14:textId="77777777" w:rsidR="00F4446F" w:rsidRDefault="00F4446F" w:rsidP="00526055">
      <w:pPr>
        <w:pStyle w:val="NormalWeb"/>
        <w:spacing w:before="0" w:beforeAutospacing="0" w:after="0" w:afterAutospacing="0" w:line="480" w:lineRule="auto"/>
        <w:ind w:firstLine="720"/>
      </w:pPr>
    </w:p>
    <w:p w14:paraId="03D15AAA" w14:textId="77777777" w:rsidR="00BB7709" w:rsidRPr="00B840B7" w:rsidRDefault="00BB7709" w:rsidP="00526055">
      <w:pPr>
        <w:spacing w:line="480" w:lineRule="auto"/>
        <w:rPr>
          <w:b/>
          <w:bCs/>
        </w:rPr>
      </w:pPr>
      <w:r w:rsidRPr="00B840B7">
        <w:rPr>
          <w:b/>
          <w:bCs/>
        </w:rPr>
        <w:t xml:space="preserve">7. Conclusion </w:t>
      </w:r>
    </w:p>
    <w:p w14:paraId="086A4B00" w14:textId="7382555E" w:rsidR="00022C1E" w:rsidRPr="00B840B7" w:rsidRDefault="00967581" w:rsidP="00526055">
      <w:pPr>
        <w:spacing w:line="480" w:lineRule="auto"/>
        <w:ind w:firstLine="720"/>
        <w:rPr>
          <w:sz w:val="22"/>
          <w:szCs w:val="22"/>
        </w:rPr>
      </w:pPr>
      <w:r w:rsidRPr="00B840B7">
        <w:rPr>
          <w:sz w:val="22"/>
          <w:szCs w:val="22"/>
        </w:rPr>
        <w:t xml:space="preserve">The literature on </w:t>
      </w:r>
      <w:r w:rsidR="00216DB2" w:rsidRPr="00B840B7">
        <w:rPr>
          <w:sz w:val="22"/>
          <w:szCs w:val="22"/>
        </w:rPr>
        <w:t xml:space="preserve">gender </w:t>
      </w:r>
      <w:r w:rsidRPr="00B840B7">
        <w:rPr>
          <w:sz w:val="22"/>
          <w:szCs w:val="22"/>
        </w:rPr>
        <w:t>and transitional justice is very diverse. While initially it focused on the absence of women from TJ, as soon as women appeared as subjects of</w:t>
      </w:r>
      <w:r w:rsidR="00F90FB5" w:rsidRPr="00B840B7">
        <w:rPr>
          <w:sz w:val="22"/>
          <w:szCs w:val="22"/>
        </w:rPr>
        <w:t xml:space="preserve"> human rights accountability</w:t>
      </w:r>
      <w:r w:rsidRPr="00B840B7">
        <w:rPr>
          <w:sz w:val="22"/>
          <w:szCs w:val="22"/>
        </w:rPr>
        <w:t xml:space="preserve">, </w:t>
      </w:r>
      <w:r w:rsidR="00A76EEA" w:rsidRPr="00B840B7">
        <w:rPr>
          <w:sz w:val="22"/>
          <w:szCs w:val="22"/>
        </w:rPr>
        <w:t xml:space="preserve">some authors </w:t>
      </w:r>
      <w:r w:rsidRPr="00B840B7">
        <w:rPr>
          <w:sz w:val="22"/>
          <w:szCs w:val="22"/>
        </w:rPr>
        <w:t xml:space="preserve">failed to attribute such a change to the agency of advocates, and instead concluded that it was the result of state policies or </w:t>
      </w:r>
      <w:r w:rsidR="002573A9" w:rsidRPr="00B840B7">
        <w:rPr>
          <w:sz w:val="22"/>
          <w:szCs w:val="22"/>
        </w:rPr>
        <w:t xml:space="preserve">cooptation </w:t>
      </w:r>
      <w:r w:rsidRPr="00B840B7">
        <w:rPr>
          <w:sz w:val="22"/>
          <w:szCs w:val="22"/>
        </w:rPr>
        <w:t xml:space="preserve">of the international system </w:t>
      </w:r>
      <w:r w:rsidR="007959A9" w:rsidRPr="00B840B7">
        <w:rPr>
          <w:sz w:val="22"/>
          <w:szCs w:val="22"/>
        </w:rPr>
        <w:t xml:space="preserve">aimed at </w:t>
      </w:r>
      <w:r w:rsidR="00665D05" w:rsidRPr="00B840B7">
        <w:rPr>
          <w:sz w:val="22"/>
          <w:szCs w:val="22"/>
        </w:rPr>
        <w:t>“securitiz</w:t>
      </w:r>
      <w:r w:rsidR="007959A9" w:rsidRPr="00B840B7">
        <w:rPr>
          <w:sz w:val="22"/>
          <w:szCs w:val="22"/>
        </w:rPr>
        <w:t>ing”</w:t>
      </w:r>
      <w:r w:rsidR="00665D05" w:rsidRPr="00B840B7">
        <w:rPr>
          <w:sz w:val="22"/>
          <w:szCs w:val="22"/>
        </w:rPr>
        <w:t xml:space="preserve"> the </w:t>
      </w:r>
      <w:r w:rsidR="007959A9" w:rsidRPr="00B840B7">
        <w:rPr>
          <w:sz w:val="22"/>
          <w:szCs w:val="22"/>
        </w:rPr>
        <w:t>“</w:t>
      </w:r>
      <w:r w:rsidR="00665D05" w:rsidRPr="00B840B7">
        <w:rPr>
          <w:sz w:val="22"/>
          <w:szCs w:val="22"/>
        </w:rPr>
        <w:t>ideal victim status</w:t>
      </w:r>
      <w:r w:rsidRPr="00B840B7">
        <w:rPr>
          <w:sz w:val="22"/>
          <w:szCs w:val="22"/>
        </w:rPr>
        <w:t>,</w:t>
      </w:r>
      <w:r w:rsidR="00665D05" w:rsidRPr="00B840B7">
        <w:rPr>
          <w:sz w:val="22"/>
          <w:szCs w:val="22"/>
        </w:rPr>
        <w:t>” discourse for Western intervention.</w:t>
      </w:r>
      <w:r w:rsidR="00665D05" w:rsidRPr="00B840B7">
        <w:rPr>
          <w:rStyle w:val="FootnoteReference"/>
          <w:sz w:val="22"/>
          <w:szCs w:val="22"/>
        </w:rPr>
        <w:footnoteReference w:id="68"/>
      </w:r>
      <w:r w:rsidR="00665D05" w:rsidRPr="00B840B7">
        <w:rPr>
          <w:sz w:val="22"/>
          <w:szCs w:val="22"/>
        </w:rPr>
        <w:t xml:space="preserve"> </w:t>
      </w:r>
      <w:r w:rsidR="00EB043F" w:rsidRPr="00B840B7">
        <w:rPr>
          <w:sz w:val="22"/>
          <w:szCs w:val="22"/>
        </w:rPr>
        <w:t>These</w:t>
      </w:r>
      <w:r w:rsidR="00A76EEA" w:rsidRPr="00B840B7">
        <w:rPr>
          <w:sz w:val="22"/>
          <w:szCs w:val="22"/>
        </w:rPr>
        <w:t xml:space="preserve"> arguments</w:t>
      </w:r>
      <w:r w:rsidR="00EB043F" w:rsidRPr="00B840B7">
        <w:rPr>
          <w:sz w:val="22"/>
          <w:szCs w:val="22"/>
        </w:rPr>
        <w:t>, we believe, are the result of an excessive focus in the literature on a smaller set of conflict</w:t>
      </w:r>
      <w:r w:rsidR="00175052" w:rsidRPr="00B840B7">
        <w:rPr>
          <w:sz w:val="22"/>
          <w:szCs w:val="22"/>
        </w:rPr>
        <w:t>-</w:t>
      </w:r>
      <w:r w:rsidR="00EB043F" w:rsidRPr="00B840B7">
        <w:rPr>
          <w:sz w:val="22"/>
          <w:szCs w:val="22"/>
        </w:rPr>
        <w:t>related TJ policies where foreign intervention occurred and</w:t>
      </w:r>
      <w:r w:rsidR="00315911" w:rsidRPr="00B840B7">
        <w:rPr>
          <w:sz w:val="22"/>
          <w:szCs w:val="22"/>
        </w:rPr>
        <w:t>/or where</w:t>
      </w:r>
      <w:r w:rsidR="00EB043F" w:rsidRPr="00B840B7">
        <w:rPr>
          <w:sz w:val="22"/>
          <w:szCs w:val="22"/>
        </w:rPr>
        <w:t xml:space="preserve"> donors were setting the </w:t>
      </w:r>
      <w:r w:rsidR="00A42FF2" w:rsidRPr="00B840B7">
        <w:rPr>
          <w:sz w:val="22"/>
          <w:szCs w:val="22"/>
        </w:rPr>
        <w:t>agenda</w:t>
      </w:r>
      <w:r w:rsidR="00315911" w:rsidRPr="00B840B7">
        <w:rPr>
          <w:sz w:val="22"/>
          <w:szCs w:val="22"/>
        </w:rPr>
        <w:t>, such as in the Balkans and the DRC.</w:t>
      </w:r>
      <w:r w:rsidR="00EB043F" w:rsidRPr="00B840B7">
        <w:rPr>
          <w:sz w:val="22"/>
          <w:szCs w:val="22"/>
        </w:rPr>
        <w:t xml:space="preserve"> But when we focus on the entire universe of </w:t>
      </w:r>
      <w:r w:rsidR="00317675" w:rsidRPr="00B840B7">
        <w:rPr>
          <w:sz w:val="22"/>
          <w:szCs w:val="22"/>
        </w:rPr>
        <w:t>TJ</w:t>
      </w:r>
      <w:r w:rsidR="00022C1E" w:rsidRPr="00B840B7">
        <w:rPr>
          <w:sz w:val="22"/>
          <w:szCs w:val="22"/>
        </w:rPr>
        <w:t xml:space="preserve"> trials, truth commissions, and reparations</w:t>
      </w:r>
      <w:r w:rsidR="00EB043F" w:rsidRPr="00B840B7">
        <w:rPr>
          <w:sz w:val="22"/>
          <w:szCs w:val="22"/>
        </w:rPr>
        <w:t>, we find that</w:t>
      </w:r>
      <w:r w:rsidR="00022C1E" w:rsidRPr="00B840B7">
        <w:rPr>
          <w:sz w:val="22"/>
          <w:szCs w:val="22"/>
        </w:rPr>
        <w:t xml:space="preserve"> gender-attentive TJ policies emerged earlier </w:t>
      </w:r>
      <w:r w:rsidR="0097798B" w:rsidRPr="00B840B7">
        <w:rPr>
          <w:sz w:val="22"/>
          <w:szCs w:val="22"/>
        </w:rPr>
        <w:t xml:space="preserve">and </w:t>
      </w:r>
      <w:r w:rsidR="00C86C9C" w:rsidRPr="00B840B7">
        <w:rPr>
          <w:sz w:val="22"/>
          <w:szCs w:val="22"/>
        </w:rPr>
        <w:t xml:space="preserve">especially </w:t>
      </w:r>
      <w:r w:rsidR="00022C1E" w:rsidRPr="00B840B7">
        <w:rPr>
          <w:sz w:val="22"/>
          <w:szCs w:val="22"/>
        </w:rPr>
        <w:t>in Africa and Latin America</w:t>
      </w:r>
      <w:r w:rsidR="00C86C9C" w:rsidRPr="00B840B7">
        <w:rPr>
          <w:sz w:val="22"/>
          <w:szCs w:val="22"/>
        </w:rPr>
        <w:t xml:space="preserve">, than </w:t>
      </w:r>
      <w:r w:rsidR="001946A7">
        <w:rPr>
          <w:sz w:val="22"/>
          <w:szCs w:val="22"/>
        </w:rPr>
        <w:t xml:space="preserve">many approaches to the field </w:t>
      </w:r>
      <w:r w:rsidR="00C86C9C" w:rsidRPr="00B840B7">
        <w:rPr>
          <w:sz w:val="22"/>
          <w:szCs w:val="22"/>
        </w:rPr>
        <w:t xml:space="preserve">would lead us to expect.  </w:t>
      </w:r>
      <w:r w:rsidR="00022C1E" w:rsidRPr="00B840B7">
        <w:rPr>
          <w:sz w:val="22"/>
          <w:szCs w:val="22"/>
        </w:rPr>
        <w:t xml:space="preserve"> </w:t>
      </w:r>
      <w:r w:rsidR="00EB043F" w:rsidRPr="00B840B7">
        <w:rPr>
          <w:sz w:val="22"/>
          <w:szCs w:val="22"/>
        </w:rPr>
        <w:t xml:space="preserve"> </w:t>
      </w:r>
    </w:p>
    <w:p w14:paraId="41AB8916" w14:textId="255C1769" w:rsidR="00C86C9C" w:rsidRPr="00B840B7" w:rsidRDefault="002203BB" w:rsidP="00526055">
      <w:pPr>
        <w:pStyle w:val="NormalWeb"/>
        <w:spacing w:before="0" w:beforeAutospacing="0" w:after="0" w:afterAutospacing="0" w:line="480" w:lineRule="auto"/>
        <w:ind w:firstLine="720"/>
        <w:rPr>
          <w:sz w:val="22"/>
          <w:szCs w:val="22"/>
        </w:rPr>
      </w:pPr>
      <w:r w:rsidRPr="00B840B7">
        <w:rPr>
          <w:sz w:val="22"/>
          <w:szCs w:val="22"/>
        </w:rPr>
        <w:t xml:space="preserve">These policies </w:t>
      </w:r>
      <w:r w:rsidR="00A037D7" w:rsidRPr="00B840B7">
        <w:rPr>
          <w:sz w:val="22"/>
          <w:szCs w:val="22"/>
        </w:rPr>
        <w:t xml:space="preserve">initially </w:t>
      </w:r>
      <w:r w:rsidRPr="00B840B7">
        <w:rPr>
          <w:sz w:val="22"/>
          <w:szCs w:val="22"/>
        </w:rPr>
        <w:t xml:space="preserve">emerged as a result of early </w:t>
      </w:r>
      <w:r w:rsidR="00A037D7" w:rsidRPr="00B840B7">
        <w:rPr>
          <w:sz w:val="22"/>
          <w:szCs w:val="22"/>
        </w:rPr>
        <w:t xml:space="preserve">feminist activism demanding attention to violence against women. </w:t>
      </w:r>
      <w:r w:rsidR="00BF52DD" w:rsidRPr="00B840B7">
        <w:rPr>
          <w:sz w:val="22"/>
          <w:szCs w:val="22"/>
        </w:rPr>
        <w:t>I</w:t>
      </w:r>
      <w:r w:rsidR="00665D05" w:rsidRPr="00B840B7">
        <w:rPr>
          <w:sz w:val="22"/>
          <w:szCs w:val="22"/>
        </w:rPr>
        <w:t>nstead of recognizing the agency and success</w:t>
      </w:r>
      <w:r w:rsidR="00BF52DD" w:rsidRPr="00B840B7">
        <w:rPr>
          <w:sz w:val="22"/>
          <w:szCs w:val="22"/>
        </w:rPr>
        <w:t xml:space="preserve"> of women’s organization</w:t>
      </w:r>
      <w:r w:rsidR="007A5633" w:rsidRPr="00B840B7">
        <w:rPr>
          <w:sz w:val="22"/>
          <w:szCs w:val="22"/>
        </w:rPr>
        <w:t>s and</w:t>
      </w:r>
      <w:r w:rsidR="00BF52DD" w:rsidRPr="00B840B7">
        <w:rPr>
          <w:sz w:val="22"/>
          <w:szCs w:val="22"/>
        </w:rPr>
        <w:t xml:space="preserve"> feminist writers in drawing attention </w:t>
      </w:r>
      <w:r w:rsidR="003235A2" w:rsidRPr="00B840B7">
        <w:rPr>
          <w:sz w:val="22"/>
          <w:szCs w:val="22"/>
        </w:rPr>
        <w:t xml:space="preserve">to </w:t>
      </w:r>
      <w:r w:rsidR="00BF52DD" w:rsidRPr="00B840B7">
        <w:rPr>
          <w:sz w:val="22"/>
          <w:szCs w:val="22"/>
        </w:rPr>
        <w:t xml:space="preserve">the problems of rape in wartime and in domestic TJ policies, we hear that </w:t>
      </w:r>
      <w:r w:rsidR="003F127F" w:rsidRPr="00B840B7">
        <w:rPr>
          <w:sz w:val="22"/>
          <w:szCs w:val="22"/>
        </w:rPr>
        <w:t xml:space="preserve">the </w:t>
      </w:r>
      <w:r w:rsidR="00665D05" w:rsidRPr="00B840B7">
        <w:rPr>
          <w:sz w:val="22"/>
          <w:szCs w:val="22"/>
        </w:rPr>
        <w:t xml:space="preserve">world has constructed the </w:t>
      </w:r>
      <w:r w:rsidR="00BF52DD" w:rsidRPr="00B840B7">
        <w:rPr>
          <w:sz w:val="22"/>
          <w:szCs w:val="22"/>
        </w:rPr>
        <w:t xml:space="preserve">rape victim as the </w:t>
      </w:r>
      <w:r w:rsidR="00665D05" w:rsidRPr="00B840B7">
        <w:rPr>
          <w:sz w:val="22"/>
          <w:szCs w:val="22"/>
        </w:rPr>
        <w:t>ideal victim and given her “status</w:t>
      </w:r>
      <w:r w:rsidR="00BF52DD" w:rsidRPr="00B840B7">
        <w:rPr>
          <w:sz w:val="22"/>
          <w:szCs w:val="22"/>
        </w:rPr>
        <w:t>.</w:t>
      </w:r>
      <w:r w:rsidR="00665D05" w:rsidRPr="00B840B7">
        <w:rPr>
          <w:sz w:val="22"/>
          <w:szCs w:val="22"/>
        </w:rPr>
        <w:t>”</w:t>
      </w:r>
      <w:r w:rsidR="00665D05" w:rsidRPr="00B840B7">
        <w:rPr>
          <w:rStyle w:val="FootnoteReference"/>
          <w:sz w:val="22"/>
          <w:szCs w:val="22"/>
        </w:rPr>
        <w:footnoteReference w:id="69"/>
      </w:r>
      <w:r w:rsidR="006D181A" w:rsidRPr="00B840B7">
        <w:rPr>
          <w:sz w:val="22"/>
          <w:szCs w:val="22"/>
        </w:rPr>
        <w:t xml:space="preserve"> </w:t>
      </w:r>
      <w:r w:rsidR="005F454B" w:rsidRPr="00B840B7">
        <w:rPr>
          <w:sz w:val="22"/>
          <w:szCs w:val="22"/>
        </w:rPr>
        <w:t xml:space="preserve">The </w:t>
      </w:r>
      <w:r w:rsidR="00320A96" w:rsidRPr="00B840B7">
        <w:rPr>
          <w:sz w:val="22"/>
          <w:szCs w:val="22"/>
        </w:rPr>
        <w:t xml:space="preserve">critical transitional justice </w:t>
      </w:r>
      <w:r w:rsidR="005F454B" w:rsidRPr="00B840B7">
        <w:rPr>
          <w:sz w:val="22"/>
          <w:szCs w:val="22"/>
        </w:rPr>
        <w:t xml:space="preserve">literature </w:t>
      </w:r>
      <w:r w:rsidR="00320A96" w:rsidRPr="00B840B7">
        <w:rPr>
          <w:sz w:val="22"/>
          <w:szCs w:val="22"/>
        </w:rPr>
        <w:t xml:space="preserve">stresses </w:t>
      </w:r>
      <w:r w:rsidR="005F454B" w:rsidRPr="00B840B7">
        <w:rPr>
          <w:sz w:val="22"/>
          <w:szCs w:val="22"/>
        </w:rPr>
        <w:t>“hierarchies that favour certain victims and harms above others</w:t>
      </w:r>
      <w:r w:rsidR="00320A96" w:rsidRPr="00B840B7">
        <w:rPr>
          <w:sz w:val="22"/>
          <w:szCs w:val="22"/>
        </w:rPr>
        <w:t>,” and suggests that this crowds out or silences other forms of attention to gender.</w:t>
      </w:r>
      <w:r w:rsidR="005F454B" w:rsidRPr="00B840B7">
        <w:rPr>
          <w:rStyle w:val="FootnoteReference"/>
          <w:sz w:val="22"/>
          <w:szCs w:val="22"/>
        </w:rPr>
        <w:footnoteReference w:id="70"/>
      </w:r>
      <w:r w:rsidR="00094233" w:rsidRPr="00B840B7">
        <w:rPr>
          <w:sz w:val="22"/>
          <w:szCs w:val="22"/>
        </w:rPr>
        <w:t xml:space="preserve"> </w:t>
      </w:r>
      <w:r w:rsidR="00320A96" w:rsidRPr="00B840B7">
        <w:rPr>
          <w:sz w:val="22"/>
          <w:szCs w:val="22"/>
        </w:rPr>
        <w:t xml:space="preserve">This “crowding </w:t>
      </w:r>
      <w:r w:rsidR="00320A96" w:rsidRPr="00B840B7">
        <w:rPr>
          <w:sz w:val="22"/>
          <w:szCs w:val="22"/>
        </w:rPr>
        <w:lastRenderedPageBreak/>
        <w:t>out” hypothesis of a zero sum game</w:t>
      </w:r>
      <w:r w:rsidR="00A53EFC" w:rsidRPr="00B840B7">
        <w:rPr>
          <w:sz w:val="22"/>
          <w:szCs w:val="22"/>
        </w:rPr>
        <w:t xml:space="preserve">, where attention to one issue </w:t>
      </w:r>
      <w:r w:rsidR="000D6BBF" w:rsidRPr="00B840B7">
        <w:rPr>
          <w:sz w:val="22"/>
          <w:szCs w:val="22"/>
        </w:rPr>
        <w:t>undercuts attention to others</w:t>
      </w:r>
      <w:r w:rsidR="00B22B91" w:rsidRPr="00B840B7">
        <w:rPr>
          <w:sz w:val="22"/>
          <w:szCs w:val="22"/>
        </w:rPr>
        <w:t>,</w:t>
      </w:r>
      <w:r w:rsidR="000D6BBF" w:rsidRPr="00B840B7">
        <w:rPr>
          <w:sz w:val="22"/>
          <w:szCs w:val="22"/>
        </w:rPr>
        <w:t xml:space="preserve"> </w:t>
      </w:r>
      <w:r w:rsidR="00A53EFC" w:rsidRPr="00B840B7">
        <w:rPr>
          <w:sz w:val="22"/>
          <w:szCs w:val="22"/>
        </w:rPr>
        <w:t>may be true for certain cases when international funding is at stake.</w:t>
      </w:r>
      <w:r w:rsidR="000D6BBF" w:rsidRPr="00B840B7">
        <w:rPr>
          <w:rStyle w:val="FootnoteReference"/>
          <w:sz w:val="22"/>
          <w:szCs w:val="22"/>
        </w:rPr>
        <w:footnoteReference w:id="71"/>
      </w:r>
      <w:r w:rsidR="00A53EFC" w:rsidRPr="00B840B7">
        <w:rPr>
          <w:sz w:val="22"/>
          <w:szCs w:val="22"/>
        </w:rPr>
        <w:t xml:space="preserve"> But it is less </w:t>
      </w:r>
      <w:r w:rsidR="00C86C9C" w:rsidRPr="00B840B7">
        <w:rPr>
          <w:sz w:val="22"/>
          <w:szCs w:val="22"/>
        </w:rPr>
        <w:t>accurate in explain</w:t>
      </w:r>
      <w:r w:rsidR="00174C97" w:rsidRPr="00B840B7">
        <w:rPr>
          <w:sz w:val="22"/>
          <w:szCs w:val="22"/>
        </w:rPr>
        <w:t>ing</w:t>
      </w:r>
      <w:r w:rsidR="00C86C9C" w:rsidRPr="00B840B7">
        <w:rPr>
          <w:sz w:val="22"/>
          <w:szCs w:val="22"/>
        </w:rPr>
        <w:t xml:space="preserve"> changing TJ practices over time observed in historical data. </w:t>
      </w:r>
    </w:p>
    <w:p w14:paraId="60370F9D" w14:textId="58D6AAF8" w:rsidR="00966B99" w:rsidRPr="00B840B7" w:rsidRDefault="005F454B" w:rsidP="00526055">
      <w:pPr>
        <w:pStyle w:val="NormalWeb"/>
        <w:spacing w:before="0" w:beforeAutospacing="0" w:after="0" w:afterAutospacing="0" w:line="480" w:lineRule="auto"/>
        <w:ind w:firstLine="720"/>
        <w:rPr>
          <w:sz w:val="22"/>
          <w:szCs w:val="22"/>
        </w:rPr>
      </w:pPr>
      <w:r w:rsidRPr="00B840B7">
        <w:rPr>
          <w:sz w:val="22"/>
          <w:szCs w:val="22"/>
        </w:rPr>
        <w:t>Our research suggest</w:t>
      </w:r>
      <w:r w:rsidR="00175D98" w:rsidRPr="00B840B7">
        <w:rPr>
          <w:sz w:val="22"/>
          <w:szCs w:val="22"/>
        </w:rPr>
        <w:t>s</w:t>
      </w:r>
      <w:r w:rsidRPr="00B840B7">
        <w:rPr>
          <w:sz w:val="22"/>
          <w:szCs w:val="22"/>
        </w:rPr>
        <w:t xml:space="preserve"> a different pattern. Early attention to violence against women, for example</w:t>
      </w:r>
      <w:r w:rsidR="009F7DF1">
        <w:rPr>
          <w:sz w:val="22"/>
          <w:szCs w:val="22"/>
        </w:rPr>
        <w:t>,</w:t>
      </w:r>
      <w:r w:rsidR="00256C61" w:rsidRPr="00B840B7">
        <w:rPr>
          <w:sz w:val="22"/>
          <w:szCs w:val="22"/>
        </w:rPr>
        <w:t xml:space="preserve"> </w:t>
      </w:r>
      <w:r w:rsidRPr="00B840B7">
        <w:rPr>
          <w:sz w:val="22"/>
          <w:szCs w:val="22"/>
        </w:rPr>
        <w:t>in Latin American countries,</w:t>
      </w:r>
      <w:r w:rsidR="00986979" w:rsidRPr="00B840B7">
        <w:rPr>
          <w:sz w:val="22"/>
          <w:szCs w:val="22"/>
        </w:rPr>
        <w:t xml:space="preserve"> led them to be more attentive </w:t>
      </w:r>
      <w:r w:rsidR="00694AEC" w:rsidRPr="00B840B7">
        <w:rPr>
          <w:sz w:val="22"/>
          <w:szCs w:val="22"/>
        </w:rPr>
        <w:t xml:space="preserve">to other types of </w:t>
      </w:r>
      <w:r w:rsidR="00CE2001" w:rsidRPr="00B840B7">
        <w:rPr>
          <w:sz w:val="22"/>
          <w:szCs w:val="22"/>
        </w:rPr>
        <w:t xml:space="preserve">victims and harms </w:t>
      </w:r>
      <w:r w:rsidR="00596645" w:rsidRPr="00B840B7">
        <w:rPr>
          <w:sz w:val="22"/>
          <w:szCs w:val="22"/>
        </w:rPr>
        <w:t xml:space="preserve">when later confronted with new demands for gender equality, especially </w:t>
      </w:r>
      <w:r w:rsidR="00B13DB8" w:rsidRPr="00B840B7">
        <w:rPr>
          <w:sz w:val="22"/>
          <w:szCs w:val="22"/>
        </w:rPr>
        <w:t>calls</w:t>
      </w:r>
      <w:r w:rsidR="005C07E4" w:rsidRPr="00B840B7">
        <w:rPr>
          <w:sz w:val="22"/>
          <w:szCs w:val="22"/>
        </w:rPr>
        <w:t xml:space="preserve"> from</w:t>
      </w:r>
      <w:r w:rsidR="00B13DB8" w:rsidRPr="00B840B7">
        <w:rPr>
          <w:sz w:val="22"/>
          <w:szCs w:val="22"/>
        </w:rPr>
        <w:t xml:space="preserve"> </w:t>
      </w:r>
      <w:r w:rsidR="00596645" w:rsidRPr="00B840B7">
        <w:rPr>
          <w:sz w:val="22"/>
          <w:szCs w:val="22"/>
        </w:rPr>
        <w:t>LGBTQI+ victims.</w:t>
      </w:r>
      <w:r w:rsidRPr="00B840B7">
        <w:rPr>
          <w:sz w:val="22"/>
          <w:szCs w:val="22"/>
        </w:rPr>
        <w:t xml:space="preserve"> </w:t>
      </w:r>
      <w:r w:rsidR="00F471FC">
        <w:rPr>
          <w:sz w:val="22"/>
          <w:szCs w:val="22"/>
        </w:rPr>
        <w:t xml:space="preserve">This evidence is consistent with the </w:t>
      </w:r>
      <w:r w:rsidRPr="00B840B7">
        <w:rPr>
          <w:sz w:val="22"/>
          <w:szCs w:val="22"/>
        </w:rPr>
        <w:t xml:space="preserve">argument that there is positive spillover from early </w:t>
      </w:r>
      <w:r w:rsidR="0084245F" w:rsidRPr="00B840B7">
        <w:rPr>
          <w:sz w:val="22"/>
          <w:szCs w:val="22"/>
        </w:rPr>
        <w:t xml:space="preserve">gender attentiveness, rather than crowding out or making other harms and victims invisible. </w:t>
      </w:r>
      <w:r w:rsidR="002331AA" w:rsidRPr="00B840B7">
        <w:rPr>
          <w:sz w:val="22"/>
          <w:szCs w:val="22"/>
        </w:rPr>
        <w:t>Furthermore, the case of Tunisia demonstrates that</w:t>
      </w:r>
      <w:r w:rsidR="00833363" w:rsidRPr="00B840B7">
        <w:rPr>
          <w:sz w:val="22"/>
          <w:szCs w:val="22"/>
        </w:rPr>
        <w:t xml:space="preserve"> at least some attention to gender </w:t>
      </w:r>
      <w:r w:rsidR="00833680" w:rsidRPr="00B840B7">
        <w:rPr>
          <w:sz w:val="22"/>
          <w:szCs w:val="22"/>
        </w:rPr>
        <w:t>results from regional diffusion</w:t>
      </w:r>
      <w:r w:rsidR="00767B4C" w:rsidRPr="00B840B7">
        <w:rPr>
          <w:sz w:val="22"/>
          <w:szCs w:val="22"/>
        </w:rPr>
        <w:t xml:space="preserve"> of </w:t>
      </w:r>
      <w:r w:rsidR="0092409D" w:rsidRPr="00B840B7">
        <w:rPr>
          <w:sz w:val="22"/>
          <w:szCs w:val="22"/>
        </w:rPr>
        <w:t xml:space="preserve">new </w:t>
      </w:r>
      <w:r w:rsidR="005423C9" w:rsidRPr="00B840B7">
        <w:rPr>
          <w:sz w:val="22"/>
          <w:szCs w:val="22"/>
        </w:rPr>
        <w:t xml:space="preserve">TJ </w:t>
      </w:r>
      <w:r w:rsidR="0092409D" w:rsidRPr="00B840B7">
        <w:rPr>
          <w:sz w:val="22"/>
          <w:szCs w:val="22"/>
        </w:rPr>
        <w:t>focuses and practices</w:t>
      </w:r>
      <w:r w:rsidR="00381454" w:rsidRPr="00B840B7">
        <w:rPr>
          <w:sz w:val="22"/>
          <w:szCs w:val="22"/>
        </w:rPr>
        <w:t>.</w:t>
      </w:r>
    </w:p>
    <w:p w14:paraId="52E29141" w14:textId="5F7FEE0E" w:rsidR="008E43F5" w:rsidRDefault="00281FB4" w:rsidP="00EC48C8">
      <w:pPr>
        <w:pStyle w:val="NormalWeb"/>
        <w:spacing w:before="0" w:beforeAutospacing="0" w:after="0" w:afterAutospacing="0" w:line="480" w:lineRule="auto"/>
        <w:ind w:firstLine="720"/>
        <w:rPr>
          <w:sz w:val="22"/>
          <w:szCs w:val="22"/>
        </w:rPr>
      </w:pPr>
      <w:r w:rsidRPr="00B840B7">
        <w:rPr>
          <w:sz w:val="22"/>
          <w:szCs w:val="22"/>
        </w:rPr>
        <w:t>W</w:t>
      </w:r>
      <w:r w:rsidR="00A42FF2" w:rsidRPr="00B840B7">
        <w:rPr>
          <w:sz w:val="22"/>
          <w:szCs w:val="22"/>
        </w:rPr>
        <w:t>ell-intentioned</w:t>
      </w:r>
      <w:r w:rsidR="00515EE9" w:rsidRPr="00B840B7">
        <w:rPr>
          <w:sz w:val="22"/>
          <w:szCs w:val="22"/>
        </w:rPr>
        <w:t xml:space="preserve"> critics keep raising the bar of what constitutes adequate attention to gender. We applaud their efforts. But in </w:t>
      </w:r>
      <w:r w:rsidR="000807C2" w:rsidRPr="00B840B7">
        <w:rPr>
          <w:sz w:val="22"/>
          <w:szCs w:val="22"/>
        </w:rPr>
        <w:t>doing so</w:t>
      </w:r>
      <w:r w:rsidR="00515EE9" w:rsidRPr="00B840B7">
        <w:rPr>
          <w:sz w:val="22"/>
          <w:szCs w:val="22"/>
        </w:rPr>
        <w:t>, they engage in what Fariss</w:t>
      </w:r>
      <w:r w:rsidR="00B024FB" w:rsidRPr="00B840B7">
        <w:rPr>
          <w:sz w:val="22"/>
          <w:szCs w:val="22"/>
        </w:rPr>
        <w:t xml:space="preserve"> has called a </w:t>
      </w:r>
      <w:r w:rsidR="000D44D1" w:rsidRPr="00B840B7">
        <w:rPr>
          <w:sz w:val="22"/>
          <w:szCs w:val="22"/>
        </w:rPr>
        <w:t>“</w:t>
      </w:r>
      <w:r w:rsidR="00B024FB" w:rsidRPr="00B840B7">
        <w:rPr>
          <w:sz w:val="22"/>
          <w:szCs w:val="22"/>
        </w:rPr>
        <w:t>changing standard of accountability.</w:t>
      </w:r>
      <w:r w:rsidR="000D44D1" w:rsidRPr="00B840B7">
        <w:rPr>
          <w:sz w:val="22"/>
          <w:szCs w:val="22"/>
        </w:rPr>
        <w:t>”</w:t>
      </w:r>
      <w:r w:rsidR="00A645A6" w:rsidRPr="00B840B7">
        <w:rPr>
          <w:rStyle w:val="FootnoteReference"/>
          <w:sz w:val="22"/>
          <w:szCs w:val="22"/>
        </w:rPr>
        <w:footnoteReference w:id="72"/>
      </w:r>
      <w:r w:rsidR="00B024FB" w:rsidRPr="00B840B7">
        <w:rPr>
          <w:sz w:val="22"/>
          <w:szCs w:val="22"/>
        </w:rPr>
        <w:t xml:space="preserve"> Raising the bar of what we expect for gender </w:t>
      </w:r>
      <w:r w:rsidR="000D44D1" w:rsidRPr="00B840B7">
        <w:rPr>
          <w:sz w:val="22"/>
          <w:szCs w:val="22"/>
        </w:rPr>
        <w:t xml:space="preserve">justice </w:t>
      </w:r>
      <w:r w:rsidR="00A42FF2" w:rsidRPr="00B840B7">
        <w:rPr>
          <w:sz w:val="22"/>
          <w:szCs w:val="22"/>
        </w:rPr>
        <w:t xml:space="preserve">should not also </w:t>
      </w:r>
      <w:r w:rsidR="00B024FB" w:rsidRPr="00B840B7">
        <w:rPr>
          <w:sz w:val="22"/>
          <w:szCs w:val="22"/>
        </w:rPr>
        <w:t xml:space="preserve">mask real improvements in </w:t>
      </w:r>
      <w:r w:rsidR="003B26F9">
        <w:rPr>
          <w:sz w:val="22"/>
          <w:szCs w:val="22"/>
        </w:rPr>
        <w:t xml:space="preserve">the number of trials, TCs and reparations that provide </w:t>
      </w:r>
      <w:r w:rsidR="00A42FF2" w:rsidRPr="00B840B7">
        <w:rPr>
          <w:sz w:val="22"/>
          <w:szCs w:val="22"/>
        </w:rPr>
        <w:t>gender</w:t>
      </w:r>
      <w:r w:rsidR="00797ACF" w:rsidRPr="00B840B7">
        <w:rPr>
          <w:sz w:val="22"/>
          <w:szCs w:val="22"/>
        </w:rPr>
        <w:t>-</w:t>
      </w:r>
      <w:r w:rsidR="00A42FF2" w:rsidRPr="00B840B7">
        <w:rPr>
          <w:sz w:val="22"/>
          <w:szCs w:val="22"/>
        </w:rPr>
        <w:t xml:space="preserve">attentive </w:t>
      </w:r>
      <w:r w:rsidR="00F90FB5" w:rsidRPr="00B840B7">
        <w:rPr>
          <w:sz w:val="22"/>
          <w:szCs w:val="22"/>
        </w:rPr>
        <w:t xml:space="preserve">human rights accountability </w:t>
      </w:r>
      <w:r w:rsidR="00A42FF2" w:rsidRPr="00B840B7">
        <w:rPr>
          <w:sz w:val="22"/>
          <w:szCs w:val="22"/>
        </w:rPr>
        <w:t>that we have documented in this article.</w:t>
      </w:r>
      <w:r w:rsidR="000D44D1" w:rsidRPr="00B840B7">
        <w:rPr>
          <w:sz w:val="22"/>
          <w:szCs w:val="22"/>
        </w:rPr>
        <w:t xml:space="preserve"> </w:t>
      </w:r>
      <w:r w:rsidR="00B024FB" w:rsidRPr="00B840B7">
        <w:rPr>
          <w:sz w:val="22"/>
          <w:szCs w:val="22"/>
        </w:rPr>
        <w:t>To address this, we need what Dancy and Fariss have called a “constitutive approach,” to human rights, a subset of constructivist theorizing.</w:t>
      </w:r>
      <w:r w:rsidR="00032561" w:rsidRPr="00B840B7">
        <w:rPr>
          <w:rStyle w:val="FootnoteReference"/>
          <w:sz w:val="22"/>
          <w:szCs w:val="22"/>
        </w:rPr>
        <w:footnoteReference w:id="73"/>
      </w:r>
      <w:r w:rsidR="00B024FB" w:rsidRPr="00B840B7">
        <w:rPr>
          <w:sz w:val="22"/>
          <w:szCs w:val="22"/>
        </w:rPr>
        <w:t xml:space="preserve"> The feminist </w:t>
      </w:r>
      <w:r w:rsidR="0031701C" w:rsidRPr="00B840B7">
        <w:rPr>
          <w:sz w:val="22"/>
          <w:szCs w:val="22"/>
        </w:rPr>
        <w:t xml:space="preserve">activism and the </w:t>
      </w:r>
      <w:r w:rsidR="00B024FB" w:rsidRPr="00B840B7">
        <w:rPr>
          <w:sz w:val="22"/>
          <w:szCs w:val="22"/>
        </w:rPr>
        <w:t xml:space="preserve">critique we summarize here </w:t>
      </w:r>
      <w:r w:rsidR="00480176" w:rsidRPr="00B840B7">
        <w:rPr>
          <w:sz w:val="22"/>
          <w:szCs w:val="22"/>
        </w:rPr>
        <w:t xml:space="preserve">both reflected and </w:t>
      </w:r>
      <w:r w:rsidR="00B024FB" w:rsidRPr="00B840B7">
        <w:rPr>
          <w:sz w:val="22"/>
          <w:szCs w:val="22"/>
        </w:rPr>
        <w:t xml:space="preserve">contributed </w:t>
      </w:r>
      <w:r w:rsidR="000D44D1" w:rsidRPr="00B840B7">
        <w:rPr>
          <w:sz w:val="22"/>
          <w:szCs w:val="22"/>
        </w:rPr>
        <w:t>to new and important demands for</w:t>
      </w:r>
      <w:r w:rsidR="00F90FB5" w:rsidRPr="00B840B7">
        <w:rPr>
          <w:sz w:val="22"/>
          <w:szCs w:val="22"/>
        </w:rPr>
        <w:t xml:space="preserve"> human rights accountability</w:t>
      </w:r>
      <w:r w:rsidR="000D44D1" w:rsidRPr="00B840B7">
        <w:rPr>
          <w:sz w:val="22"/>
          <w:szCs w:val="22"/>
        </w:rPr>
        <w:t xml:space="preserve">. </w:t>
      </w:r>
      <w:r w:rsidR="00480176" w:rsidRPr="00B840B7">
        <w:rPr>
          <w:sz w:val="22"/>
          <w:szCs w:val="22"/>
        </w:rPr>
        <w:t>We believe t</w:t>
      </w:r>
      <w:r w:rsidR="002573A9" w:rsidRPr="00B840B7">
        <w:rPr>
          <w:sz w:val="22"/>
          <w:szCs w:val="22"/>
        </w:rPr>
        <w:t xml:space="preserve">hese demands </w:t>
      </w:r>
      <w:r w:rsidR="00480176" w:rsidRPr="00B840B7">
        <w:rPr>
          <w:sz w:val="22"/>
          <w:szCs w:val="22"/>
        </w:rPr>
        <w:t xml:space="preserve">changed the global norm context that led to the </w:t>
      </w:r>
      <w:r w:rsidR="002573A9" w:rsidRPr="00B840B7">
        <w:rPr>
          <w:sz w:val="22"/>
          <w:szCs w:val="22"/>
        </w:rPr>
        <w:t>appearance of gender</w:t>
      </w:r>
      <w:r w:rsidR="00BE00A8" w:rsidRPr="00B840B7">
        <w:rPr>
          <w:sz w:val="22"/>
          <w:szCs w:val="22"/>
        </w:rPr>
        <w:t>-</w:t>
      </w:r>
      <w:r w:rsidR="002573A9" w:rsidRPr="00B840B7">
        <w:rPr>
          <w:sz w:val="22"/>
          <w:szCs w:val="22"/>
        </w:rPr>
        <w:t>attentive policies in the 1990s that we document here</w:t>
      </w:r>
      <w:r w:rsidR="00BF0D12" w:rsidRPr="00B840B7">
        <w:rPr>
          <w:sz w:val="22"/>
          <w:szCs w:val="22"/>
        </w:rPr>
        <w:t>,</w:t>
      </w:r>
      <w:r w:rsidR="0084245F" w:rsidRPr="00B840B7">
        <w:rPr>
          <w:sz w:val="22"/>
          <w:szCs w:val="22"/>
        </w:rPr>
        <w:t xml:space="preserve"> and </w:t>
      </w:r>
      <w:r w:rsidR="00BF0D12" w:rsidRPr="00B840B7">
        <w:rPr>
          <w:sz w:val="22"/>
          <w:szCs w:val="22"/>
        </w:rPr>
        <w:t xml:space="preserve">to </w:t>
      </w:r>
      <w:r w:rsidR="00DF7E2E" w:rsidRPr="00B840B7">
        <w:rPr>
          <w:sz w:val="22"/>
          <w:szCs w:val="22"/>
        </w:rPr>
        <w:t>the</w:t>
      </w:r>
      <w:r w:rsidR="0084245F" w:rsidRPr="00B840B7">
        <w:rPr>
          <w:sz w:val="22"/>
          <w:szCs w:val="22"/>
        </w:rPr>
        <w:t xml:space="preserve"> expansion</w:t>
      </w:r>
      <w:r w:rsidR="007E7BD7" w:rsidRPr="00B840B7">
        <w:rPr>
          <w:sz w:val="22"/>
          <w:szCs w:val="22"/>
        </w:rPr>
        <w:t xml:space="preserve"> of human rights accountability</w:t>
      </w:r>
      <w:r w:rsidR="0084245F" w:rsidRPr="00B840B7">
        <w:rPr>
          <w:sz w:val="22"/>
          <w:szCs w:val="22"/>
        </w:rPr>
        <w:t xml:space="preserve"> to new harms and victims in the 21</w:t>
      </w:r>
      <w:r w:rsidR="0084245F" w:rsidRPr="00B840B7">
        <w:rPr>
          <w:sz w:val="22"/>
          <w:szCs w:val="22"/>
          <w:vertAlign w:val="superscript"/>
        </w:rPr>
        <w:t>st</w:t>
      </w:r>
      <w:r w:rsidR="0084245F" w:rsidRPr="00B840B7">
        <w:rPr>
          <w:sz w:val="22"/>
          <w:szCs w:val="22"/>
        </w:rPr>
        <w:t xml:space="preserve"> century.</w:t>
      </w:r>
    </w:p>
    <w:p w14:paraId="69C04F40" w14:textId="77777777" w:rsidR="007B4DCC" w:rsidRDefault="007B4DCC" w:rsidP="00EC48C8">
      <w:pPr>
        <w:pStyle w:val="NormalWeb"/>
        <w:spacing w:before="0" w:beforeAutospacing="0" w:after="0" w:afterAutospacing="0" w:line="480" w:lineRule="auto"/>
        <w:ind w:firstLine="720"/>
        <w:rPr>
          <w:sz w:val="22"/>
          <w:szCs w:val="22"/>
        </w:rPr>
      </w:pPr>
    </w:p>
    <w:p w14:paraId="6533949B" w14:textId="77777777" w:rsidR="0055306B" w:rsidRDefault="0055306B">
      <w:pPr>
        <w:rPr>
          <w:b/>
          <w:bCs/>
          <w:sz w:val="22"/>
          <w:szCs w:val="22"/>
        </w:rPr>
      </w:pPr>
      <w:r>
        <w:rPr>
          <w:b/>
          <w:bCs/>
          <w:sz w:val="22"/>
          <w:szCs w:val="22"/>
        </w:rPr>
        <w:br w:type="page"/>
      </w:r>
    </w:p>
    <w:p w14:paraId="391B52CA" w14:textId="5773A542" w:rsidR="003A69D4" w:rsidRDefault="007B4DCC" w:rsidP="007B4DCC">
      <w:pPr>
        <w:pStyle w:val="NormalWeb"/>
        <w:spacing w:before="0" w:beforeAutospacing="0" w:after="0" w:afterAutospacing="0" w:line="480" w:lineRule="auto"/>
        <w:rPr>
          <w:sz w:val="22"/>
          <w:szCs w:val="22"/>
        </w:rPr>
      </w:pPr>
      <w:r w:rsidRPr="007B4DCC">
        <w:rPr>
          <w:b/>
          <w:bCs/>
          <w:sz w:val="22"/>
          <w:szCs w:val="22"/>
        </w:rPr>
        <w:lastRenderedPageBreak/>
        <w:t>Appendix A</w:t>
      </w:r>
      <w:r>
        <w:rPr>
          <w:sz w:val="22"/>
          <w:szCs w:val="22"/>
        </w:rPr>
        <w:t xml:space="preserve">: </w:t>
      </w:r>
      <w:r w:rsidR="003A69D4">
        <w:rPr>
          <w:sz w:val="22"/>
          <w:szCs w:val="22"/>
        </w:rPr>
        <w:t>Methodology</w:t>
      </w:r>
    </w:p>
    <w:p w14:paraId="7332852F" w14:textId="77777777" w:rsidR="003A69D4" w:rsidRPr="00463BF9" w:rsidRDefault="003A69D4" w:rsidP="003A69D4">
      <w:pPr>
        <w:autoSpaceDE w:val="0"/>
        <w:autoSpaceDN w:val="0"/>
        <w:adjustRightInd w:val="0"/>
        <w:spacing w:line="480" w:lineRule="auto"/>
        <w:ind w:firstLine="720"/>
        <w:rPr>
          <w:sz w:val="22"/>
          <w:szCs w:val="22"/>
        </w:rPr>
      </w:pPr>
      <w:r>
        <w:rPr>
          <w:sz w:val="22"/>
          <w:szCs w:val="22"/>
        </w:rPr>
        <w:t>We followed a consistent methodology to locate and classify transitional justice policies implemented from 1970 through 2020.</w:t>
      </w:r>
      <w:r>
        <w:rPr>
          <w:rStyle w:val="FootnoteReference"/>
          <w:rFonts w:eastAsiaTheme="majorEastAsia"/>
          <w:sz w:val="22"/>
          <w:szCs w:val="22"/>
        </w:rPr>
        <w:footnoteReference w:id="74"/>
      </w:r>
      <w:r>
        <w:rPr>
          <w:sz w:val="22"/>
          <w:szCs w:val="22"/>
        </w:rPr>
        <w:t xml:space="preserve"> For each policy, we began with existing datasets to identify a set of known policies. We then assigned a team of researchers to use </w:t>
      </w:r>
      <w:r w:rsidRPr="003B3266">
        <w:rPr>
          <w:sz w:val="22"/>
          <w:szCs w:val="22"/>
        </w:rPr>
        <w:t xml:space="preserve">Factiva and Nexis Uni </w:t>
      </w:r>
      <w:r>
        <w:rPr>
          <w:sz w:val="22"/>
          <w:szCs w:val="22"/>
        </w:rPr>
        <w:t xml:space="preserve">to search for policies implemented in other countries or after the existing dataset was compiled. When researchers found reporting on an unknown policy, we noted it as a “lead” and added it to the set of known policies. After </w:t>
      </w:r>
      <w:r w:rsidRPr="00463BF9">
        <w:rPr>
          <w:sz w:val="22"/>
          <w:szCs w:val="22"/>
        </w:rPr>
        <w:t xml:space="preserve">compiling a list of known policies and leads covering all countries in the 1970-2020 period, researchers collected additional information on each policy – such as from government and non-governmental organization reports, news articles, or secondary academic sources – to corroborate that the policy existed and to classify it according to attributes defined in standardized coding manuals. </w:t>
      </w:r>
    </w:p>
    <w:p w14:paraId="742C52AF" w14:textId="46A5EED5" w:rsidR="003A69D4" w:rsidRPr="00C15D07" w:rsidRDefault="003A69D4" w:rsidP="003A69D4">
      <w:pPr>
        <w:autoSpaceDE w:val="0"/>
        <w:autoSpaceDN w:val="0"/>
        <w:adjustRightInd w:val="0"/>
        <w:spacing w:line="480" w:lineRule="auto"/>
        <w:ind w:firstLine="720"/>
        <w:rPr>
          <w:color w:val="212121"/>
          <w:sz w:val="22"/>
          <w:szCs w:val="22"/>
        </w:rPr>
      </w:pPr>
      <w:r w:rsidRPr="00463BF9">
        <w:rPr>
          <w:sz w:val="22"/>
          <w:szCs w:val="22"/>
        </w:rPr>
        <w:t xml:space="preserve">For transitional justice trials, for illustration, researchers began by reading over 5,000 annual </w:t>
      </w:r>
      <w:r w:rsidRPr="00463BF9">
        <w:rPr>
          <w:color w:val="000000"/>
          <w:sz w:val="22"/>
          <w:szCs w:val="22"/>
        </w:rPr>
        <w:t>US State Department country reports on human rights practices.</w:t>
      </w:r>
      <w:r>
        <w:rPr>
          <w:color w:val="000000"/>
          <w:sz w:val="22"/>
          <w:szCs w:val="22"/>
        </w:rPr>
        <w:t xml:space="preserve"> When reading, we identified all human rights trials defined as </w:t>
      </w:r>
      <w:r>
        <w:rPr>
          <w:color w:val="000000"/>
        </w:rPr>
        <w:t>t</w:t>
      </w:r>
      <w:r w:rsidRPr="00365F92">
        <w:rPr>
          <w:color w:val="000000"/>
        </w:rPr>
        <w:t>he use of domestic, foreign, or international courts of law to bring criminal procedures against state agent</w:t>
      </w:r>
      <w:r>
        <w:rPr>
          <w:color w:val="000000"/>
        </w:rPr>
        <w:t>s</w:t>
      </w:r>
      <w:r w:rsidRPr="00365F92">
        <w:rPr>
          <w:color w:val="000000"/>
        </w:rPr>
        <w:t xml:space="preserve"> </w:t>
      </w:r>
      <w:r>
        <w:rPr>
          <w:color w:val="000000"/>
        </w:rPr>
        <w:t xml:space="preserve">or </w:t>
      </w:r>
      <w:r w:rsidRPr="00904D79">
        <w:rPr>
          <w:color w:val="000000" w:themeColor="text1"/>
          <w:sz w:val="22"/>
          <w:szCs w:val="22"/>
        </w:rPr>
        <w:t xml:space="preserve">non-state armed groups </w:t>
      </w:r>
      <w:r>
        <w:rPr>
          <w:color w:val="000000" w:themeColor="text1"/>
          <w:sz w:val="22"/>
          <w:szCs w:val="22"/>
        </w:rPr>
        <w:t>for the violation of human rights or</w:t>
      </w:r>
      <w:r w:rsidRPr="00904D79">
        <w:rPr>
          <w:color w:val="000000" w:themeColor="text1"/>
          <w:sz w:val="22"/>
          <w:szCs w:val="22"/>
        </w:rPr>
        <w:t xml:space="preserve"> the laws of war.</w:t>
      </w:r>
      <w:r>
        <w:rPr>
          <w:color w:val="000000" w:themeColor="text1"/>
          <w:sz w:val="22"/>
          <w:szCs w:val="22"/>
        </w:rPr>
        <w:t xml:space="preserve"> </w:t>
      </w:r>
      <w:r w:rsidRPr="00904D79">
        <w:rPr>
          <w:color w:val="212121"/>
          <w:sz w:val="22"/>
          <w:szCs w:val="22"/>
        </w:rPr>
        <w:t xml:space="preserve">Critically, </w:t>
      </w:r>
      <w:r>
        <w:rPr>
          <w:color w:val="212121"/>
          <w:sz w:val="22"/>
          <w:szCs w:val="22"/>
        </w:rPr>
        <w:t>this definition</w:t>
      </w:r>
      <w:r w:rsidRPr="00904D79">
        <w:rPr>
          <w:color w:val="212121"/>
          <w:sz w:val="22"/>
          <w:szCs w:val="22"/>
        </w:rPr>
        <w:t xml:space="preserve"> is limited to charges brought against </w:t>
      </w:r>
      <w:r w:rsidRPr="00904D79">
        <w:rPr>
          <w:color w:val="000000" w:themeColor="text1"/>
          <w:sz w:val="22"/>
          <w:szCs w:val="22"/>
        </w:rPr>
        <w:t>state officials or non-state armed groups and thus excludes crimes occurring in the private sphere, such as cases of domestic violence.</w:t>
      </w:r>
      <w:r>
        <w:rPr>
          <w:color w:val="000000" w:themeColor="text1"/>
          <w:sz w:val="22"/>
          <w:szCs w:val="22"/>
        </w:rPr>
        <w:t xml:space="preserve"> </w:t>
      </w:r>
      <w:r w:rsidRPr="00904D79">
        <w:rPr>
          <w:sz w:val="22"/>
          <w:szCs w:val="22"/>
        </w:rPr>
        <w:t xml:space="preserve">Our dataset includes 5,321 human rights trials in all seven regions around the world from 1970 through 2020. </w:t>
      </w:r>
      <w:r w:rsidRPr="00C15D07">
        <w:rPr>
          <w:sz w:val="22"/>
          <w:szCs w:val="22"/>
        </w:rPr>
        <w:t>We cl</w:t>
      </w:r>
      <w:r w:rsidRPr="00C15D07">
        <w:rPr>
          <w:color w:val="212121"/>
          <w:sz w:val="22"/>
          <w:szCs w:val="22"/>
        </w:rPr>
        <w:t>assify 2,256 of these trials as occurring in transitional contexts.</w:t>
      </w:r>
      <w:r>
        <w:rPr>
          <w:color w:val="212121"/>
          <w:sz w:val="22"/>
          <w:szCs w:val="22"/>
        </w:rPr>
        <w:t xml:space="preserve"> </w:t>
      </w:r>
      <w:r w:rsidRPr="00C15D07">
        <w:rPr>
          <w:color w:val="212121"/>
          <w:sz w:val="22"/>
          <w:szCs w:val="22"/>
        </w:rPr>
        <w:t xml:space="preserve">To determine whether a trial is gender-attentive, researchers </w:t>
      </w:r>
      <w:r>
        <w:rPr>
          <w:color w:val="212121"/>
          <w:sz w:val="22"/>
          <w:szCs w:val="22"/>
        </w:rPr>
        <w:t>coded</w:t>
      </w:r>
      <w:r w:rsidRPr="00C15D07">
        <w:rPr>
          <w:color w:val="212121"/>
          <w:sz w:val="22"/>
          <w:szCs w:val="22"/>
        </w:rPr>
        <w:t xml:space="preserve"> whether the charges in the case include </w:t>
      </w:r>
      <w:r>
        <w:rPr>
          <w:color w:val="000000"/>
          <w:sz w:val="22"/>
          <w:szCs w:val="22"/>
        </w:rPr>
        <w:t>either</w:t>
      </w:r>
      <w:r w:rsidRPr="00C15D07">
        <w:rPr>
          <w:color w:val="000000"/>
          <w:sz w:val="22"/>
          <w:szCs w:val="22"/>
        </w:rPr>
        <w:t xml:space="preserve"> a crime that is sexual in nature, including rape and other types of sexual violence</w:t>
      </w:r>
      <w:r>
        <w:rPr>
          <w:color w:val="000000"/>
          <w:sz w:val="22"/>
          <w:szCs w:val="22"/>
        </w:rPr>
        <w:t>, or</w:t>
      </w:r>
      <w:r w:rsidRPr="00C15D07">
        <w:rPr>
          <w:color w:val="000000"/>
          <w:sz w:val="22"/>
          <w:szCs w:val="22"/>
        </w:rPr>
        <w:t xml:space="preserve"> </w:t>
      </w:r>
      <w:r>
        <w:rPr>
          <w:color w:val="000000"/>
          <w:sz w:val="22"/>
          <w:szCs w:val="22"/>
        </w:rPr>
        <w:t xml:space="preserve">if the context of the crime indicated that it was </w:t>
      </w:r>
      <w:r w:rsidRPr="00C15D07">
        <w:rPr>
          <w:color w:val="000000"/>
          <w:sz w:val="22"/>
          <w:szCs w:val="22"/>
        </w:rPr>
        <w:t xml:space="preserve">committed against </w:t>
      </w:r>
      <w:r>
        <w:rPr>
          <w:color w:val="000000"/>
          <w:sz w:val="22"/>
          <w:szCs w:val="22"/>
        </w:rPr>
        <w:t>a</w:t>
      </w:r>
      <w:r w:rsidRPr="00C15D07">
        <w:rPr>
          <w:color w:val="000000"/>
          <w:sz w:val="22"/>
          <w:szCs w:val="22"/>
        </w:rPr>
        <w:t xml:space="preserve"> victim because of their sex, sexual orientation, gender, or gender identity.</w:t>
      </w:r>
      <w:r w:rsidRPr="00C15D07">
        <w:rPr>
          <w:rStyle w:val="FootnoteReference"/>
          <w:sz w:val="22"/>
          <w:szCs w:val="22"/>
        </w:rPr>
        <w:footnoteReference w:id="75"/>
      </w:r>
      <w:r>
        <w:rPr>
          <w:color w:val="212121"/>
          <w:sz w:val="22"/>
          <w:szCs w:val="22"/>
        </w:rPr>
        <w:t xml:space="preserve"> </w:t>
      </w:r>
      <w:r w:rsidRPr="00904D79">
        <w:rPr>
          <w:sz w:val="22"/>
          <w:szCs w:val="22"/>
        </w:rPr>
        <w:t xml:space="preserve">We identify 253 gender-attentive trials, or 11.2% of all TJ trials in the database. </w:t>
      </w:r>
    </w:p>
    <w:p w14:paraId="636CF217" w14:textId="77777777" w:rsidR="003A69D4" w:rsidRPr="00904D79" w:rsidRDefault="003A69D4" w:rsidP="003A69D4">
      <w:pPr>
        <w:autoSpaceDE w:val="0"/>
        <w:autoSpaceDN w:val="0"/>
        <w:adjustRightInd w:val="0"/>
        <w:spacing w:line="480" w:lineRule="auto"/>
        <w:ind w:firstLine="720"/>
        <w:rPr>
          <w:sz w:val="22"/>
          <w:szCs w:val="22"/>
        </w:rPr>
      </w:pPr>
      <w:r>
        <w:rPr>
          <w:sz w:val="22"/>
          <w:szCs w:val="22"/>
        </w:rPr>
        <w:lastRenderedPageBreak/>
        <w:t xml:space="preserve">For truth commissions (TCs), we began with the list of TCs compiled by </w:t>
      </w:r>
      <w:r w:rsidRPr="00316286">
        <w:rPr>
          <w:sz w:val="22"/>
          <w:szCs w:val="22"/>
        </w:rPr>
        <w:t>Dancy, Kim</w:t>
      </w:r>
      <w:r>
        <w:rPr>
          <w:sz w:val="22"/>
          <w:szCs w:val="22"/>
        </w:rPr>
        <w:t>,</w:t>
      </w:r>
      <w:r w:rsidRPr="00316286">
        <w:rPr>
          <w:sz w:val="22"/>
          <w:szCs w:val="22"/>
        </w:rPr>
        <w:t xml:space="preserve"> </w:t>
      </w:r>
      <w:r>
        <w:rPr>
          <w:sz w:val="22"/>
          <w:szCs w:val="22"/>
        </w:rPr>
        <w:t>and</w:t>
      </w:r>
      <w:r w:rsidRPr="00316286">
        <w:rPr>
          <w:sz w:val="22"/>
          <w:szCs w:val="22"/>
        </w:rPr>
        <w:t xml:space="preserve"> Wiebelhaus-Brahm</w:t>
      </w:r>
      <w:r>
        <w:rPr>
          <w:sz w:val="22"/>
          <w:szCs w:val="22"/>
        </w:rPr>
        <w:t xml:space="preserve"> and </w:t>
      </w:r>
      <w:r w:rsidRPr="00F56C47">
        <w:rPr>
          <w:sz w:val="22"/>
          <w:szCs w:val="22"/>
        </w:rPr>
        <w:t>then searched for leads to extend the dataset</w:t>
      </w:r>
      <w:r>
        <w:rPr>
          <w:sz w:val="22"/>
          <w:szCs w:val="22"/>
        </w:rPr>
        <w:t>’</w:t>
      </w:r>
      <w:r w:rsidRPr="00F56C47">
        <w:rPr>
          <w:sz w:val="22"/>
          <w:szCs w:val="22"/>
        </w:rPr>
        <w:t>s coverage through 2020.</w:t>
      </w:r>
      <w:r w:rsidRPr="00F56C47">
        <w:rPr>
          <w:rStyle w:val="FootnoteReference"/>
          <w:rFonts w:eastAsiaTheme="majorEastAsia"/>
          <w:sz w:val="22"/>
          <w:szCs w:val="22"/>
        </w:rPr>
        <w:footnoteReference w:id="76"/>
      </w:r>
      <w:r w:rsidRPr="00F56C47">
        <w:rPr>
          <w:sz w:val="22"/>
          <w:szCs w:val="22"/>
        </w:rPr>
        <w:t xml:space="preserve"> When identifying TCs, researchers search for TCs defined as</w:t>
      </w:r>
      <w:r w:rsidRPr="00F56C47">
        <w:rPr>
          <w:color w:val="000000"/>
          <w:sz w:val="22"/>
          <w:szCs w:val="22"/>
        </w:rPr>
        <w:t xml:space="preserve"> a formal, state-sanctioned, temporary body that investigates a pattern of past human rights abuses and aims to include a final report of its findings.</w:t>
      </w:r>
      <w:r>
        <w:rPr>
          <w:sz w:val="22"/>
          <w:szCs w:val="22"/>
        </w:rPr>
        <w:t xml:space="preserve"> Altogether, our research team identified </w:t>
      </w:r>
      <w:r w:rsidRPr="00904D79">
        <w:rPr>
          <w:sz w:val="22"/>
          <w:szCs w:val="22"/>
        </w:rPr>
        <w:t>113 TCs, 84 of which occur in transitional contexts.</w:t>
      </w:r>
      <w:r>
        <w:rPr>
          <w:sz w:val="22"/>
          <w:szCs w:val="22"/>
        </w:rPr>
        <w:t xml:space="preserve"> To classify if a TC was gender-attentive, researchers assessed whether the TC </w:t>
      </w:r>
      <w:r w:rsidRPr="00904D79">
        <w:rPr>
          <w:sz w:val="22"/>
          <w:szCs w:val="22"/>
        </w:rPr>
        <w:t>examine</w:t>
      </w:r>
      <w:r>
        <w:rPr>
          <w:sz w:val="22"/>
          <w:szCs w:val="22"/>
        </w:rPr>
        <w:t>d</w:t>
      </w:r>
      <w:r w:rsidRPr="00904D79">
        <w:rPr>
          <w:sz w:val="22"/>
          <w:szCs w:val="22"/>
        </w:rPr>
        <w:t xml:space="preserve"> pattern</w:t>
      </w:r>
      <w:r>
        <w:rPr>
          <w:sz w:val="22"/>
          <w:szCs w:val="22"/>
        </w:rPr>
        <w:t>s</w:t>
      </w:r>
      <w:r w:rsidRPr="00904D79">
        <w:rPr>
          <w:sz w:val="22"/>
          <w:szCs w:val="22"/>
        </w:rPr>
        <w:t xml:space="preserve"> of gender-based violations or gender injustices perpetrated by the state or armed opposition actors. </w:t>
      </w:r>
      <w:r>
        <w:rPr>
          <w:sz w:val="22"/>
          <w:szCs w:val="22"/>
        </w:rPr>
        <w:t>Furthermore, w</w:t>
      </w:r>
      <w:r w:rsidRPr="00904D79">
        <w:rPr>
          <w:sz w:val="22"/>
          <w:szCs w:val="22"/>
        </w:rPr>
        <w:t>e examined TCs’ attention to gender in both their operations and outputs</w:t>
      </w:r>
      <w:r>
        <w:rPr>
          <w:sz w:val="22"/>
          <w:szCs w:val="22"/>
        </w:rPr>
        <w:t>:</w:t>
      </w:r>
      <w:r w:rsidRPr="00904D79">
        <w:rPr>
          <w:sz w:val="22"/>
          <w:szCs w:val="22"/>
        </w:rPr>
        <w:t xml:space="preserve"> </w:t>
      </w:r>
      <w:r>
        <w:rPr>
          <w:sz w:val="22"/>
          <w:szCs w:val="22"/>
        </w:rPr>
        <w:t>w</w:t>
      </w:r>
      <w:r w:rsidRPr="00904D79">
        <w:rPr>
          <w:sz w:val="22"/>
          <w:szCs w:val="22"/>
        </w:rPr>
        <w:t>e coded whether a TC consulted women or LGBTQI+ victim and advocacy groups during the design phase</w:t>
      </w:r>
      <w:r>
        <w:rPr>
          <w:sz w:val="22"/>
          <w:szCs w:val="22"/>
        </w:rPr>
        <w:t xml:space="preserve"> and whether</w:t>
      </w:r>
      <w:r w:rsidRPr="00904D79">
        <w:rPr>
          <w:sz w:val="22"/>
          <w:szCs w:val="22"/>
        </w:rPr>
        <w:t xml:space="preserve"> the TC made recommendations for gender</w:t>
      </w:r>
      <w:r>
        <w:rPr>
          <w:sz w:val="22"/>
          <w:szCs w:val="22"/>
        </w:rPr>
        <w:t>-attentive</w:t>
      </w:r>
      <w:r w:rsidRPr="00904D79">
        <w:rPr>
          <w:sz w:val="22"/>
          <w:szCs w:val="22"/>
        </w:rPr>
        <w:t xml:space="preserve"> reforms, including </w:t>
      </w:r>
      <w:r>
        <w:rPr>
          <w:sz w:val="22"/>
          <w:szCs w:val="22"/>
        </w:rPr>
        <w:t xml:space="preserve">those </w:t>
      </w:r>
      <w:r w:rsidRPr="00904D79">
        <w:rPr>
          <w:sz w:val="22"/>
          <w:szCs w:val="22"/>
        </w:rPr>
        <w:t>addressing sexual violence or gender discrimination, or providing measures for LGBTQI+ protection. We classif</w:t>
      </w:r>
      <w:r>
        <w:rPr>
          <w:sz w:val="22"/>
          <w:szCs w:val="22"/>
        </w:rPr>
        <w:t>ied</w:t>
      </w:r>
      <w:r w:rsidRPr="00904D79">
        <w:rPr>
          <w:sz w:val="22"/>
          <w:szCs w:val="22"/>
        </w:rPr>
        <w:t xml:space="preserve"> 45 of the 84 </w:t>
      </w:r>
      <w:r>
        <w:rPr>
          <w:sz w:val="22"/>
          <w:szCs w:val="22"/>
        </w:rPr>
        <w:t xml:space="preserve">Truth Commissions </w:t>
      </w:r>
      <w:r w:rsidRPr="00904D79">
        <w:rPr>
          <w:sz w:val="22"/>
          <w:szCs w:val="22"/>
        </w:rPr>
        <w:t xml:space="preserve">as gender-attentive.  </w:t>
      </w:r>
    </w:p>
    <w:p w14:paraId="6590598F" w14:textId="77777777" w:rsidR="003A69D4" w:rsidRPr="00904D79" w:rsidRDefault="003A69D4" w:rsidP="003A69D4">
      <w:pPr>
        <w:autoSpaceDE w:val="0"/>
        <w:autoSpaceDN w:val="0"/>
        <w:adjustRightInd w:val="0"/>
        <w:spacing w:line="480" w:lineRule="auto"/>
        <w:ind w:firstLine="720"/>
        <w:rPr>
          <w:sz w:val="22"/>
          <w:szCs w:val="22"/>
        </w:rPr>
      </w:pPr>
      <w:r>
        <w:rPr>
          <w:sz w:val="22"/>
          <w:szCs w:val="22"/>
        </w:rPr>
        <w:t>When locating reparations policies, we began with the reparations policies documented by the Reparations, Responsibility, and Victimhood in Transitional Societies database and then searched for leads to extend that database through 2020.</w:t>
      </w:r>
      <w:r>
        <w:rPr>
          <w:rStyle w:val="FootnoteReference"/>
          <w:rFonts w:eastAsiaTheme="majorEastAsia"/>
          <w:sz w:val="22"/>
          <w:szCs w:val="22"/>
        </w:rPr>
        <w:footnoteReference w:id="77"/>
      </w:r>
      <w:r>
        <w:rPr>
          <w:sz w:val="22"/>
          <w:szCs w:val="22"/>
        </w:rPr>
        <w:t xml:space="preserve"> We defined reparations policies as all policies </w:t>
      </w:r>
      <w:r w:rsidRPr="00904D79">
        <w:rPr>
          <w:sz w:val="22"/>
          <w:szCs w:val="22"/>
        </w:rPr>
        <w:t>administered by a state to provide compensation, rehabilitation, or restitution for human rights violations committed by state actors or armed opposition actors.</w:t>
      </w:r>
      <w:r w:rsidRPr="00904D79">
        <w:rPr>
          <w:rStyle w:val="FootnoteReference"/>
          <w:sz w:val="22"/>
          <w:szCs w:val="22"/>
        </w:rPr>
        <w:footnoteReference w:id="78"/>
      </w:r>
      <w:r w:rsidRPr="00904D79">
        <w:rPr>
          <w:sz w:val="22"/>
          <w:szCs w:val="22"/>
        </w:rPr>
        <w:t xml:space="preserve"> We identify 78 human rights reparations policies created between 1970 and 2020, 66 of which occur in transitional contexts. </w:t>
      </w:r>
      <w:r>
        <w:rPr>
          <w:sz w:val="22"/>
          <w:szCs w:val="22"/>
        </w:rPr>
        <w:t xml:space="preserve">We classified these policies as gender-attentive if they either (a) provided reparations for </w:t>
      </w:r>
      <w:r w:rsidRPr="00D97FB6">
        <w:rPr>
          <w:sz w:val="22"/>
          <w:szCs w:val="22"/>
        </w:rPr>
        <w:t>sexual- or gender-based harms</w:t>
      </w:r>
      <w:r>
        <w:rPr>
          <w:sz w:val="22"/>
          <w:szCs w:val="22"/>
        </w:rPr>
        <w:t xml:space="preserve"> or (b) used recipient eligibility criteria that considered victims’ sexual- or gender-based identities</w:t>
      </w:r>
      <w:r w:rsidRPr="00D97FB6">
        <w:rPr>
          <w:sz w:val="22"/>
          <w:szCs w:val="22"/>
        </w:rPr>
        <w:t>.</w:t>
      </w:r>
      <w:r>
        <w:rPr>
          <w:sz w:val="22"/>
          <w:szCs w:val="22"/>
        </w:rPr>
        <w:t xml:space="preserve"> </w:t>
      </w:r>
      <w:r w:rsidRPr="00904D79">
        <w:rPr>
          <w:sz w:val="22"/>
          <w:szCs w:val="22"/>
        </w:rPr>
        <w:t>Of the 66 transitional reparations policies in the database, we identify 21 gender-attentive TJ reparations policies.</w:t>
      </w:r>
    </w:p>
    <w:p w14:paraId="10CFBBF3" w14:textId="77777777" w:rsidR="003A69D4" w:rsidRDefault="003A69D4" w:rsidP="007B4DCC">
      <w:pPr>
        <w:pStyle w:val="NormalWeb"/>
        <w:spacing w:before="0" w:beforeAutospacing="0" w:after="0" w:afterAutospacing="0" w:line="480" w:lineRule="auto"/>
        <w:rPr>
          <w:sz w:val="22"/>
          <w:szCs w:val="22"/>
        </w:rPr>
      </w:pPr>
    </w:p>
    <w:p w14:paraId="5D15E00C" w14:textId="6843EC5E" w:rsidR="007B4DCC" w:rsidRDefault="007B4DCC" w:rsidP="007B4DCC">
      <w:pPr>
        <w:pStyle w:val="NormalWeb"/>
        <w:spacing w:before="0" w:beforeAutospacing="0" w:after="0" w:afterAutospacing="0" w:line="480" w:lineRule="auto"/>
        <w:rPr>
          <w:i/>
          <w:iCs/>
          <w:sz w:val="22"/>
          <w:szCs w:val="22"/>
        </w:rPr>
      </w:pPr>
      <w:r w:rsidRPr="007B4DCC">
        <w:rPr>
          <w:i/>
          <w:iCs/>
          <w:sz w:val="22"/>
          <w:szCs w:val="22"/>
        </w:rPr>
        <w:lastRenderedPageBreak/>
        <w:t>List of Post-Conflict and Post-Authoritarian Transition Contexts</w:t>
      </w:r>
    </w:p>
    <w:p w14:paraId="0CEE0331" w14:textId="2A75AB2D" w:rsidR="007B4DCC" w:rsidRPr="007B4DCC" w:rsidRDefault="0055306B" w:rsidP="007B4DCC">
      <w:pPr>
        <w:pStyle w:val="NormalWeb"/>
        <w:spacing w:before="0" w:beforeAutospacing="0" w:after="0" w:afterAutospacing="0" w:line="480" w:lineRule="auto"/>
        <w:jc w:val="center"/>
        <w:rPr>
          <w:i/>
          <w:iCs/>
          <w:sz w:val="22"/>
          <w:szCs w:val="22"/>
        </w:rPr>
      </w:pPr>
      <w:r>
        <w:rPr>
          <w:noProof/>
          <w14:ligatures w14:val="standardContextual"/>
        </w:rPr>
        <w:drawing>
          <wp:inline distT="0" distB="0" distL="0" distR="0" wp14:anchorId="7F349564" wp14:editId="5B2EAEBE">
            <wp:extent cx="7364756" cy="5322490"/>
            <wp:effectExtent l="0" t="0" r="0" b="0"/>
            <wp:docPr id="103304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45372" name="Picture 1033045372"/>
                    <pic:cNvPicPr/>
                  </pic:nvPicPr>
                  <pic:blipFill>
                    <a:blip r:embed="rId13">
                      <a:extLst>
                        <a:ext uri="{28A0092B-C50C-407E-A947-70E740481C1C}">
                          <a14:useLocalDpi xmlns:a14="http://schemas.microsoft.com/office/drawing/2010/main" val="0"/>
                        </a:ext>
                      </a:extLst>
                    </a:blip>
                    <a:stretch>
                      <a:fillRect/>
                    </a:stretch>
                  </pic:blipFill>
                  <pic:spPr>
                    <a:xfrm rot="16200000">
                      <a:off x="0" y="0"/>
                      <a:ext cx="7421807" cy="5363720"/>
                    </a:xfrm>
                    <a:prstGeom prst="rect">
                      <a:avLst/>
                    </a:prstGeom>
                  </pic:spPr>
                </pic:pic>
              </a:graphicData>
            </a:graphic>
          </wp:inline>
        </w:drawing>
      </w:r>
    </w:p>
    <w:sectPr w:rsidR="007B4DCC" w:rsidRPr="007B4DCC" w:rsidSect="00564DE6">
      <w:footerReference w:type="even" r:id="rId14"/>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0B0C9" w14:textId="77777777" w:rsidR="00FB398D" w:rsidRDefault="00FB398D" w:rsidP="005041E3">
      <w:r>
        <w:separator/>
      </w:r>
    </w:p>
  </w:endnote>
  <w:endnote w:type="continuationSeparator" w:id="0">
    <w:p w14:paraId="1E7430CE" w14:textId="77777777" w:rsidR="00FB398D" w:rsidRDefault="00FB398D" w:rsidP="005041E3">
      <w:r>
        <w:continuationSeparator/>
      </w:r>
    </w:p>
  </w:endnote>
  <w:endnote w:type="continuationNotice" w:id="1">
    <w:p w14:paraId="733C9D7B" w14:textId="77777777" w:rsidR="00FB398D" w:rsidRDefault="00FB3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2649851"/>
      <w:docPartObj>
        <w:docPartGallery w:val="Page Numbers (Bottom of Page)"/>
        <w:docPartUnique/>
      </w:docPartObj>
    </w:sdtPr>
    <w:sdtContent>
      <w:p w14:paraId="2E7DB7DE" w14:textId="5A55180D" w:rsidR="008F397A" w:rsidRDefault="008F397A" w:rsidP="000825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65CA7">
          <w:rPr>
            <w:rStyle w:val="PageNumber"/>
            <w:noProof/>
          </w:rPr>
          <w:t>1</w:t>
        </w:r>
        <w:r>
          <w:rPr>
            <w:rStyle w:val="PageNumber"/>
          </w:rPr>
          <w:fldChar w:fldCharType="end"/>
        </w:r>
      </w:p>
    </w:sdtContent>
  </w:sdt>
  <w:p w14:paraId="537AF109" w14:textId="77777777" w:rsidR="008F397A" w:rsidRDefault="008F397A" w:rsidP="008F39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5392256"/>
      <w:docPartObj>
        <w:docPartGallery w:val="Page Numbers (Bottom of Page)"/>
        <w:docPartUnique/>
      </w:docPartObj>
    </w:sdtPr>
    <w:sdtContent>
      <w:p w14:paraId="55FE63DF" w14:textId="7CBBC9D1" w:rsidR="008F397A" w:rsidRPr="007D0A89" w:rsidRDefault="008F397A" w:rsidP="000825B6">
        <w:pPr>
          <w:pStyle w:val="Footer"/>
          <w:framePr w:wrap="none" w:vAnchor="text" w:hAnchor="margin" w:xAlign="right" w:y="1"/>
          <w:rPr>
            <w:rStyle w:val="PageNumber"/>
          </w:rPr>
        </w:pPr>
        <w:r w:rsidRPr="007D0A89">
          <w:rPr>
            <w:rStyle w:val="PageNumber"/>
            <w:rFonts w:ascii="Times New Roman" w:hAnsi="Times New Roman" w:cs="Times New Roman"/>
          </w:rPr>
          <w:fldChar w:fldCharType="begin"/>
        </w:r>
        <w:r w:rsidRPr="007D0A89">
          <w:rPr>
            <w:rStyle w:val="PageNumber"/>
            <w:rFonts w:ascii="Times New Roman" w:hAnsi="Times New Roman" w:cs="Times New Roman"/>
          </w:rPr>
          <w:instrText xml:space="preserve"> PAGE </w:instrText>
        </w:r>
        <w:r w:rsidRPr="007D0A89">
          <w:rPr>
            <w:rStyle w:val="PageNumber"/>
            <w:rFonts w:ascii="Times New Roman" w:hAnsi="Times New Roman" w:cs="Times New Roman"/>
          </w:rPr>
          <w:fldChar w:fldCharType="separate"/>
        </w:r>
        <w:r w:rsidRPr="007D0A89">
          <w:rPr>
            <w:rStyle w:val="PageNumber"/>
            <w:rFonts w:ascii="Times New Roman" w:hAnsi="Times New Roman" w:cs="Times New Roman"/>
            <w:noProof/>
          </w:rPr>
          <w:t>1</w:t>
        </w:r>
        <w:r w:rsidRPr="007D0A89">
          <w:rPr>
            <w:rStyle w:val="PageNumber"/>
            <w:rFonts w:ascii="Times New Roman" w:hAnsi="Times New Roman" w:cs="Times New Roman"/>
          </w:rPr>
          <w:fldChar w:fldCharType="end"/>
        </w:r>
      </w:p>
    </w:sdtContent>
  </w:sdt>
  <w:p w14:paraId="66FB692A" w14:textId="77777777" w:rsidR="008F397A" w:rsidRPr="007D0A89" w:rsidRDefault="008F397A" w:rsidP="008F39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AA826" w14:textId="77777777" w:rsidR="00FB398D" w:rsidRDefault="00FB398D" w:rsidP="005041E3">
      <w:r>
        <w:separator/>
      </w:r>
    </w:p>
  </w:footnote>
  <w:footnote w:type="continuationSeparator" w:id="0">
    <w:p w14:paraId="16E59D9C" w14:textId="77777777" w:rsidR="00FB398D" w:rsidRDefault="00FB398D" w:rsidP="005041E3">
      <w:r>
        <w:continuationSeparator/>
      </w:r>
    </w:p>
  </w:footnote>
  <w:footnote w:type="continuationNotice" w:id="1">
    <w:p w14:paraId="75066496" w14:textId="77777777" w:rsidR="00FB398D" w:rsidRDefault="00FB398D"/>
  </w:footnote>
  <w:footnote w:id="2">
    <w:p w14:paraId="3DF64AB8" w14:textId="620EC42A" w:rsidR="002235C6" w:rsidRPr="00E44DE1" w:rsidRDefault="002235C6">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w:t>
      </w:r>
      <w:r w:rsidR="00801834" w:rsidRPr="00E44DE1">
        <w:rPr>
          <w:rFonts w:ascii="Times New Roman" w:hAnsi="Times New Roman" w:cs="Times New Roman"/>
          <w:color w:val="000000" w:themeColor="text1"/>
          <w:sz w:val="22"/>
          <w:szCs w:val="22"/>
        </w:rPr>
        <w:t xml:space="preserve">This </w:t>
      </w:r>
      <w:r w:rsidR="00906436" w:rsidRPr="00E44DE1">
        <w:rPr>
          <w:rFonts w:ascii="Times New Roman" w:hAnsi="Times New Roman" w:cs="Times New Roman"/>
          <w:color w:val="000000" w:themeColor="text1"/>
          <w:sz w:val="22"/>
          <w:szCs w:val="22"/>
        </w:rPr>
        <w:t xml:space="preserve">research was supported by a grant from Global Affairs Canada. </w:t>
      </w:r>
      <w:r w:rsidRPr="00E44DE1">
        <w:rPr>
          <w:rFonts w:ascii="Times New Roman" w:hAnsi="Times New Roman" w:cs="Times New Roman"/>
          <w:color w:val="000000" w:themeColor="text1"/>
          <w:sz w:val="22"/>
          <w:szCs w:val="22"/>
        </w:rPr>
        <w:t>The authors wish to acknowledge the support and assistance of our TJET research team, and in particular, Geoff Dancy</w:t>
      </w:r>
      <w:r w:rsidR="008A3025" w:rsidRPr="00E44DE1">
        <w:rPr>
          <w:rFonts w:ascii="Times New Roman" w:hAnsi="Times New Roman" w:cs="Times New Roman"/>
          <w:color w:val="000000" w:themeColor="text1"/>
          <w:sz w:val="22"/>
          <w:szCs w:val="22"/>
        </w:rPr>
        <w:t xml:space="preserve"> and Oskar </w:t>
      </w:r>
      <w:r w:rsidRPr="00E44DE1">
        <w:rPr>
          <w:rFonts w:ascii="Times New Roman" w:hAnsi="Times New Roman" w:cs="Times New Roman"/>
          <w:color w:val="000000" w:themeColor="text1"/>
          <w:sz w:val="22"/>
          <w:szCs w:val="22"/>
        </w:rPr>
        <w:t>Timo Thoms</w:t>
      </w:r>
      <w:r w:rsidR="0024055B" w:rsidRPr="00E44DE1">
        <w:rPr>
          <w:rFonts w:ascii="Times New Roman" w:hAnsi="Times New Roman" w:cs="Times New Roman"/>
          <w:color w:val="000000" w:themeColor="text1"/>
          <w:sz w:val="22"/>
          <w:szCs w:val="22"/>
        </w:rPr>
        <w:t xml:space="preserve"> for their work </w:t>
      </w:r>
      <w:r w:rsidR="008A3025" w:rsidRPr="00E44DE1">
        <w:rPr>
          <w:rFonts w:ascii="Times New Roman" w:hAnsi="Times New Roman" w:cs="Times New Roman"/>
          <w:color w:val="000000" w:themeColor="text1"/>
          <w:sz w:val="22"/>
          <w:szCs w:val="22"/>
        </w:rPr>
        <w:t xml:space="preserve">on </w:t>
      </w:r>
      <w:r w:rsidR="0024055B" w:rsidRPr="00E44DE1">
        <w:rPr>
          <w:rFonts w:ascii="Times New Roman" w:hAnsi="Times New Roman" w:cs="Times New Roman"/>
          <w:color w:val="000000" w:themeColor="text1"/>
          <w:sz w:val="22"/>
          <w:szCs w:val="22"/>
        </w:rPr>
        <w:t>the database, and</w:t>
      </w:r>
      <w:r w:rsidR="00F57070"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t>Dara Cohen, Sally Kenney, Leigh Payne, Julissa Mantilla</w:t>
      </w:r>
      <w:r w:rsidR="0024055B"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w:t>
      </w:r>
      <w:r w:rsidR="0098167E" w:rsidRPr="00E44DE1">
        <w:rPr>
          <w:rFonts w:ascii="Times New Roman" w:hAnsi="Times New Roman" w:cs="Times New Roman"/>
          <w:color w:val="000000" w:themeColor="text1"/>
          <w:sz w:val="22"/>
          <w:szCs w:val="22"/>
        </w:rPr>
        <w:t xml:space="preserve">Ezequiel Gonzales-Ocantos, </w:t>
      </w:r>
      <w:r w:rsidR="0024055B" w:rsidRPr="00E44DE1">
        <w:rPr>
          <w:rFonts w:ascii="Times New Roman" w:hAnsi="Times New Roman" w:cs="Times New Roman"/>
          <w:color w:val="000000" w:themeColor="text1"/>
          <w:sz w:val="22"/>
          <w:szCs w:val="22"/>
        </w:rPr>
        <w:t>Milli Lake, Paul Kirby</w:t>
      </w:r>
      <w:r w:rsidR="0098167E" w:rsidRPr="00E44DE1">
        <w:rPr>
          <w:rFonts w:ascii="Times New Roman" w:hAnsi="Times New Roman" w:cs="Times New Roman"/>
          <w:color w:val="000000" w:themeColor="text1"/>
          <w:sz w:val="22"/>
          <w:szCs w:val="22"/>
        </w:rPr>
        <w:t xml:space="preserve">, and Christine Chinkin </w:t>
      </w:r>
      <w:r w:rsidR="0024055B" w:rsidRPr="00E44DE1">
        <w:rPr>
          <w:rFonts w:ascii="Times New Roman" w:hAnsi="Times New Roman" w:cs="Times New Roman"/>
          <w:color w:val="000000" w:themeColor="text1"/>
          <w:sz w:val="22"/>
          <w:szCs w:val="22"/>
        </w:rPr>
        <w:t xml:space="preserve">for comments on earlier drafts </w:t>
      </w:r>
      <w:r w:rsidRPr="00E44DE1">
        <w:rPr>
          <w:rFonts w:ascii="Times New Roman" w:hAnsi="Times New Roman" w:cs="Times New Roman"/>
          <w:color w:val="000000" w:themeColor="text1"/>
          <w:sz w:val="22"/>
          <w:szCs w:val="22"/>
        </w:rPr>
        <w:t>and Farah Radwan for coding gender attentive trials.</w:t>
      </w:r>
      <w:r w:rsidR="002A2115" w:rsidRPr="00E44DE1">
        <w:rPr>
          <w:rFonts w:ascii="Times New Roman" w:hAnsi="Times New Roman" w:cs="Times New Roman"/>
          <w:color w:val="000000" w:themeColor="text1"/>
          <w:sz w:val="22"/>
          <w:szCs w:val="22"/>
        </w:rPr>
        <w:t xml:space="preserve"> </w:t>
      </w:r>
    </w:p>
  </w:footnote>
  <w:footnote w:id="3">
    <w:p w14:paraId="16927834" w14:textId="50FE6EC5" w:rsidR="001D44B7" w:rsidRPr="00E44DE1" w:rsidRDefault="001D44B7" w:rsidP="001D44B7">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See, e.g.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{"citationID":"84AMq0Hl","properties":{"formattedCitation":"Candace West and Don H. Zimmerman, \\uc0\\u8220{}Doing Gender,\\uc0\\u8221{} {\\i{}Gender &amp; Society} 1, no. 2 (1987): 125\\uc0\\u8211{}51, https://doi.org/10.1177/0891243287001002002.","plainCitation":"Candace West and Don H. Zimmerman, “Doing Gender,” Gender &amp; Society 1, no. 2 (1987): 125–51, https://doi.org/10.1177/0891243287001002002.","dontUpdate":true,"noteIndex":2},"citationItems":[{"id":15255,"uris":["http://zotero.org/groups/2727724/items/38Z4AV2E"],"itemData":{"id":15255,"type":"article-journal","abstract":"The purpose of this article is to advance a new understanding of gender as a routine accomplishment embedded in everyday interaction. To do so entails a critical assessment of existing perspectives on sex and gender and the introduction of important distinctions among sex, sex category, and gender. We argue that recognition of the analytical independence of these concepts is essential for understanding the interactional work involved in being a gendered person in society. The thrust of our remarks is toward theoretical reconceptualization, but we consider fruitful directions for empirical research that are indicated by our formulation.","container-title":"Gender &amp; society","DOI":"10.1177/0891243287001002002","ISSN":"0891-2432","issue":"2","language":"eng","note":"publisher-place: THOUSAND OAKS\npublisher: Sage Publications","page":"125–151","source":"hollis.harvard.edu","title":"Doing Gender","volume":"1","author":[{"family":"West","given":"Candace"},{"family":"Zimmerman","given":"Don H."}],"issued":{"date-parts":[["1987"]]}}}],"schema":"https://github.com/citation-style-language/schema/raw/master/csl-citation.json"}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Candace West and Don H. Zimmerman, </w:t>
      </w:r>
      <w:r w:rsidR="005E007C"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Doing Gender,</w:t>
      </w:r>
      <w:r w:rsidR="009839DB"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i/>
          <w:iCs/>
          <w:color w:val="000000" w:themeColor="text1"/>
          <w:sz w:val="22"/>
          <w:szCs w:val="22"/>
        </w:rPr>
        <w:t>Gender &amp; Society</w:t>
      </w:r>
      <w:r w:rsidRPr="00E44DE1">
        <w:rPr>
          <w:rFonts w:ascii="Times New Roman" w:hAnsi="Times New Roman" w:cs="Times New Roman"/>
          <w:color w:val="000000" w:themeColor="text1"/>
          <w:sz w:val="22"/>
          <w:szCs w:val="22"/>
        </w:rPr>
        <w:t xml:space="preserve"> 1, no. 2 (1987): 125–51</w:t>
      </w:r>
      <w:r w:rsidRPr="00E44DE1">
        <w:rPr>
          <w:rFonts w:ascii="Times New Roman" w:hAnsi="Times New Roman" w:cs="Times New Roman"/>
          <w:color w:val="000000" w:themeColor="text1"/>
          <w:sz w:val="22"/>
          <w:szCs w:val="22"/>
        </w:rPr>
        <w:fldChar w:fldCharType="end"/>
      </w:r>
      <w:r w:rsidR="00AF0E40"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and Government of Canada, Department of Justice, Definitions at </w:t>
      </w:r>
      <w:hyperlink r:id="rId1" w:history="1">
        <w:r w:rsidRPr="00E44DE1">
          <w:rPr>
            <w:rStyle w:val="Hyperlink"/>
            <w:rFonts w:ascii="Times New Roman" w:hAnsi="Times New Roman" w:cs="Times New Roman"/>
            <w:color w:val="000000" w:themeColor="text1"/>
            <w:sz w:val="22"/>
            <w:szCs w:val="22"/>
            <w:u w:val="none"/>
          </w:rPr>
          <w:t>https://www.justice.gc.ca/socjs-esjp/en/dash-tab/definitions</w:t>
        </w:r>
      </w:hyperlink>
    </w:p>
  </w:footnote>
  <w:footnote w:id="4">
    <w:p w14:paraId="20D34957" w14:textId="6CBB7CF2" w:rsidR="00F97E4F" w:rsidRPr="00E44DE1" w:rsidRDefault="00F97E4F">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{"citationID":"6kXSM2J0","properties":{"formattedCitation":"C. Bell and C. O\\uc0\\u8217{}Rourke, \\uc0\\u8220{}Does Feminism Need a Theory of Transitional Justice? An Introductory Essay,\\uc0\\u8221{} {\\i{}International Journal of Transitional Justice} 1, no. 1 (March 1, 2007): 23\\uc0\\u8211{}44, https://doi.org/10.1093/ijtj/ijm002.","plainCitation":"C. Bell and C. O’Rourke, “Does Feminism Need a Theory of Transitional Justice? An Introductory Essay,” International Journal of Transitional Justice 1, no. 1 (March 1, 2007): 23–44, https://doi.org/10.1093/ijtj/ijm002.","dontUpdate":true,"noteIndex":3},"citationItems":[{"id":16034,"uris":["http://zotero.org/groups/2727724/items/ICX9ZWVQ","http://zotero.org/groups/2727724/items/8XWWQAAQ"],"itemData":{"id":16034,"type":"article-journal","abstract":"This essay surveys feminist scholarship and praxis on transitional justice, examining its ongoing contribution to the conceptualization and design of transitional justice mechanisms. We examine some of the gender implications of a specifically ‘transitional’ theory of justice. The essay concludes by proposing that feminist theory should focus on how transitional justice debates help or hinder broader projects of securing material gains for women through transition, rather than trying to fit a feminist notion of justice within transitional justice frameworks.","container-title":"International Journal of Transitional Justice","DOI":"10.1093/ijtj/ijm002","ISSN":"1752-7716","issue":"1","journalAbbreviation":"International Journal of Transitional Justice","page":"23-44","source":"Silverchair","title":"Does Feminism Need a Theory of Transitional Justice? An Introductory Essay","title-short":"Does Feminism Need a Theory of Transitional Justice?","volume":"1","author":[{"family":"Bell","given":"Christine"},{"family":"O'Rourke","given":"Catherine"}],"issued":{"date-parts":[["2007",3,1]]}}}],"schema":"https://github.com/citation-style-language/schema/raw/master/csl-citation.json"}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C</w:t>
      </w:r>
      <w:r w:rsidR="00CF1D0C" w:rsidRPr="00E44DE1">
        <w:rPr>
          <w:rFonts w:ascii="Times New Roman" w:hAnsi="Times New Roman" w:cs="Times New Roman"/>
          <w:color w:val="000000" w:themeColor="text1"/>
          <w:sz w:val="22"/>
          <w:szCs w:val="22"/>
        </w:rPr>
        <w:t>hristine</w:t>
      </w:r>
      <w:r w:rsidRPr="00E44DE1">
        <w:rPr>
          <w:rFonts w:ascii="Times New Roman" w:hAnsi="Times New Roman" w:cs="Times New Roman"/>
          <w:color w:val="000000" w:themeColor="text1"/>
          <w:sz w:val="22"/>
          <w:szCs w:val="22"/>
        </w:rPr>
        <w:t xml:space="preserve"> Bell and C</w:t>
      </w:r>
      <w:r w:rsidR="00D87DA3" w:rsidRPr="00E44DE1">
        <w:rPr>
          <w:rFonts w:ascii="Times New Roman" w:hAnsi="Times New Roman" w:cs="Times New Roman"/>
          <w:color w:val="000000" w:themeColor="text1"/>
          <w:sz w:val="22"/>
          <w:szCs w:val="22"/>
        </w:rPr>
        <w:t>atherine</w:t>
      </w:r>
      <w:r w:rsidRPr="00E44DE1">
        <w:rPr>
          <w:rFonts w:ascii="Times New Roman" w:hAnsi="Times New Roman" w:cs="Times New Roman"/>
          <w:color w:val="000000" w:themeColor="text1"/>
          <w:sz w:val="22"/>
          <w:szCs w:val="22"/>
        </w:rPr>
        <w:t xml:space="preserve"> O’Rourke, </w:t>
      </w:r>
      <w:r w:rsidR="00BF40B0"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Does Feminism Need a Theory of Transitional Justice? An Introductory Essay,</w:t>
      </w:r>
      <w:r w:rsidR="00D60A1B"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i/>
          <w:iCs/>
          <w:color w:val="000000" w:themeColor="text1"/>
          <w:sz w:val="22"/>
          <w:szCs w:val="22"/>
        </w:rPr>
        <w:t>International Journal of Transitional Justice</w:t>
      </w:r>
      <w:r w:rsidRPr="00E44DE1">
        <w:rPr>
          <w:rFonts w:ascii="Times New Roman" w:hAnsi="Times New Roman" w:cs="Times New Roman"/>
          <w:color w:val="000000" w:themeColor="text1"/>
          <w:sz w:val="22"/>
          <w:szCs w:val="22"/>
        </w:rPr>
        <w:t xml:space="preserve"> 1, no. 1 (March 2007): 23–44.</w:t>
      </w:r>
      <w:r w:rsidRPr="00E44DE1">
        <w:rPr>
          <w:rFonts w:ascii="Times New Roman" w:hAnsi="Times New Roman" w:cs="Times New Roman"/>
          <w:color w:val="000000" w:themeColor="text1"/>
          <w:sz w:val="22"/>
          <w:szCs w:val="22"/>
        </w:rPr>
        <w:fldChar w:fldCharType="end"/>
      </w:r>
    </w:p>
  </w:footnote>
  <w:footnote w:id="5">
    <w:p w14:paraId="016359D8" w14:textId="4DF0B211" w:rsidR="00F97E4F" w:rsidRPr="00E44DE1" w:rsidRDefault="00F97E4F">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{"citationID":"QcPDHjWS","properties":{"formattedCitation":"Navanethem Pillay, ed., \\uc0\\u8220{}Special Issue: Gender and Transitional Justice,\\uc0\\u8221{} {\\i{}International Journal of Transitional Justice} 1, no. 3 (December 1, 2007): 315\\uc0\\u8211{}17, https://doi.org/10.1093/ijtj/ijm038.","plainCitation":"Navanethem Pillay, ed., “Special Issue: Gender and Transitional Justice,” International Journal of Transitional Justice 1, no. 3 (December 1, 2007): 315–17, https://doi.org/10.1093/ijtj/ijm038.","dontUpdate":true,"noteIndex":4},"citationItems":[{"id":6230,"uris":["http://zotero.org/groups/2727724/items/6G3TECBR"],"itemData":{"id":6230,"type":"article-journal","abstract":"This is my first venture in helping to edit a journal, which is a new area for me since my experience is mainly in the area of judicial adjudication. I agreed to become involved not only because the theme of this issue, namely, ‘Gender and Transitional Justice’ is of particular relevance to international justice today, but also because the advent of the International Criminal Court (ICC) has opened up new possibilities for the ventilation of alternative aspects of justice for victimised communities and experts working in the field. Over the course of the last 13 years, as a judge on the International Criminal Tribunal for Rwanda (ICTR) and now the ICC, I learned to listen to different voices, both within and outside the courtroom, and I have slowly developed a growing awareness that rendering justice after mass conflicts is an undertaking that extends well beyond the courtroom. The process requires the participation of multiple role‐players and attention to their views, experience and expertise.","container-title":"International Journal of Transitional Justice","DOI":"10.1093/ijtj/ijm038","ISSN":"1752-7716","issue":"3","journalAbbreviation":"International Journal of Transitional Justice","page":"315-317","source":"Silverchair","title":"Special Issue: Gender and Transitional Justice","volume":"1","editor":[{"family":"Pillay","given":"Navanethem"}],"issued":{"date-parts":[["2007",12,1]]}}}],"schema":"https://github.com/citation-style-language/schema/raw/master/csl-citation.json"}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Navanethem Pillay, ed., “Special Issue: Gender and Transitional Justice,” </w:t>
      </w:r>
      <w:r w:rsidRPr="00E44DE1">
        <w:rPr>
          <w:rFonts w:ascii="Times New Roman" w:hAnsi="Times New Roman" w:cs="Times New Roman"/>
          <w:i/>
          <w:iCs/>
          <w:color w:val="000000" w:themeColor="text1"/>
          <w:sz w:val="22"/>
          <w:szCs w:val="22"/>
        </w:rPr>
        <w:t>International Journal of Transitional Justice</w:t>
      </w:r>
      <w:r w:rsidRPr="00E44DE1">
        <w:rPr>
          <w:rFonts w:ascii="Times New Roman" w:hAnsi="Times New Roman" w:cs="Times New Roman"/>
          <w:color w:val="000000" w:themeColor="text1"/>
          <w:sz w:val="22"/>
          <w:szCs w:val="22"/>
        </w:rPr>
        <w:t xml:space="preserve"> 1, no. 3 (December 1, 2007): 315–</w:t>
      </w:r>
      <w:r w:rsidR="00F04E49" w:rsidRPr="00E44DE1">
        <w:rPr>
          <w:rFonts w:ascii="Times New Roman" w:hAnsi="Times New Roman" w:cs="Times New Roman"/>
          <w:color w:val="000000" w:themeColor="text1"/>
          <w:sz w:val="22"/>
          <w:szCs w:val="22"/>
        </w:rPr>
        <w:t>3</w:t>
      </w:r>
      <w:r w:rsidRPr="00E44DE1">
        <w:rPr>
          <w:rFonts w:ascii="Times New Roman" w:hAnsi="Times New Roman" w:cs="Times New Roman"/>
          <w:color w:val="000000" w:themeColor="text1"/>
          <w:sz w:val="22"/>
          <w:szCs w:val="22"/>
        </w:rPr>
        <w:t>17.</w:t>
      </w:r>
      <w:r w:rsidRPr="00E44DE1">
        <w:rPr>
          <w:rFonts w:ascii="Times New Roman" w:hAnsi="Times New Roman" w:cs="Times New Roman"/>
          <w:color w:val="000000" w:themeColor="text1"/>
          <w:sz w:val="22"/>
          <w:szCs w:val="22"/>
        </w:rPr>
        <w:fldChar w:fldCharType="end"/>
      </w:r>
    </w:p>
  </w:footnote>
  <w:footnote w:id="6">
    <w:p w14:paraId="0D1453ED" w14:textId="0329D574" w:rsidR="002678C7" w:rsidRPr="00E44DE1" w:rsidRDefault="002678C7" w:rsidP="002678C7">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See,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{"citationID":"fMmuZYft","properties":{"formattedCitation":"Fionnuala Ni Aolain, \\uc0\\u8220{}Women, Security, and the Patriarchy of Internationalized Transitional Justice,\\uc0\\u8221{} {\\i{}Human Rights Quarterly} 31, no. 4 (2009): 1055\\uc0\\u8211{}85, https://doi.org/10.1353/hrq.0.0114.","plainCitation":"Fionnuala Ni Aolain, “Women, Security, and the Patriarchy of Internationalized Transitional Justice,” Human Rights Quarterly 31, no. 4 (2009): 1055–85, https://doi.org/10.1353/hrq.0.0114.","dontUpdate":true,"noteIndex":5},"citationItems":[{"id":4714,"uris":["http://zotero.org/groups/791179/items/QMJBF59E"],"itemData":{"id":4714,"type":"article-journal","abstract":"In the contemporary global context, transitions from conflict to peace and from authoritarian to democratic governance are a critical preoccupation of many states. In these contexts, accountability for the abuses committed by prior regimes has been a priority for international institutions, states, and new governments. Nonetheless, transitional justice goals have expanded to include a broad range of structural reforms in multiple spheres. Whether an expanded or contracted transitional justice paradigm is used to define the perimeters of change, gender concerns have been markedly absent across jurisdictions experiencing transformation. This article examines the conceptualization of and legal provision for gender security and its subsequent effects upon accountability in times of transition, with particular reference to post-conflict societies. The article closely assesses a range of contemporary issues implicated for women including an examination of post-conflict security from a gender perspective, gender and disarmament, and the centrality and effect of security sector reform for women. The article pays particular attention to the under-theorized and under-researched role of international masculinities, and the patriarchy that is imported with international oversight of transitional societies.","container-title":"Human rights quarterly","DOI":"10.1353/hrq.0.0114","ISSN":"0275-0392","issue":"4","language":"eng","note":"publisher-place: BALTIMORE\npublisher: The Johns Hopkins University Press","page":"1055–1085","source":"hollis.harvard.edu","title":"Women, Security, and the Patriarchy of Internationalized Transitional Justice","volume":"31","author":[{"family":"Aolain","given":"Fionnuala Ni"}],"issued":{"date-parts":[["2009"]]}}}],"schema":"https://github.com/citation-style-language/schema/raw/master/csl-citation.json"}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Fionnuala </w:t>
      </w:r>
      <w:r w:rsidR="004B1E69" w:rsidRPr="00E44DE1">
        <w:rPr>
          <w:rFonts w:ascii="Times New Roman" w:hAnsi="Times New Roman" w:cs="Times New Roman"/>
          <w:color w:val="000000" w:themeColor="text1"/>
          <w:sz w:val="22"/>
          <w:szCs w:val="22"/>
        </w:rPr>
        <w:t>Ní Aoláin</w:t>
      </w:r>
      <w:r w:rsidRPr="00E44DE1">
        <w:rPr>
          <w:rFonts w:ascii="Times New Roman" w:hAnsi="Times New Roman" w:cs="Times New Roman"/>
          <w:color w:val="000000" w:themeColor="text1"/>
          <w:sz w:val="22"/>
          <w:szCs w:val="22"/>
        </w:rPr>
        <w:t xml:space="preserve">, “Women, Security, and the Patriarchy of Internationalized Transitional Justice,” </w:t>
      </w:r>
      <w:r w:rsidRPr="00E44DE1">
        <w:rPr>
          <w:rFonts w:ascii="Times New Roman" w:hAnsi="Times New Roman" w:cs="Times New Roman"/>
          <w:i/>
          <w:iCs/>
          <w:color w:val="000000" w:themeColor="text1"/>
          <w:sz w:val="22"/>
          <w:szCs w:val="22"/>
        </w:rPr>
        <w:t>Human Rights Quarterly</w:t>
      </w:r>
      <w:r w:rsidRPr="00E44DE1">
        <w:rPr>
          <w:rFonts w:ascii="Times New Roman" w:hAnsi="Times New Roman" w:cs="Times New Roman"/>
          <w:color w:val="000000" w:themeColor="text1"/>
          <w:sz w:val="22"/>
          <w:szCs w:val="22"/>
        </w:rPr>
        <w:t xml:space="preserve"> 31, no. 4 (2009): </w:t>
      </w:r>
      <w:r w:rsidRPr="00E44DE1">
        <w:rPr>
          <w:rFonts w:ascii="Times New Roman" w:hAnsi="Times New Roman" w:cs="Times New Roman"/>
          <w:color w:val="000000" w:themeColor="text1"/>
          <w:sz w:val="22"/>
          <w:szCs w:val="22"/>
        </w:rPr>
        <w:fldChar w:fldCharType="end"/>
      </w:r>
      <w:r w:rsidRPr="00E44DE1">
        <w:rPr>
          <w:rFonts w:ascii="Times New Roman" w:hAnsi="Times New Roman" w:cs="Times New Roman"/>
          <w:color w:val="000000" w:themeColor="text1"/>
          <w:sz w:val="22"/>
          <w:szCs w:val="22"/>
        </w:rPr>
        <w:t xml:space="preserve">1059.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{"citationID":"qDFlJmnX","properties":{"formattedCitation":"Fionnuala Ni Aolain, \\uc0\\u8220{}The Inner and Outer Limits of Gendered Transitional Justice,\\uc0\\u8221{} {\\i{}\\uc0\\u201{}ire-Ireland (St. Paul)} 55, no. 1 (2020): 280, https://doi.org/10.1353/eir.2020.0012.","plainCitation":"Fionnuala Ni Aolain, “The Inner and Outer Limits of Gendered Transitional Justice,” Éire-Ireland (St. Paul) 55, no. 1 (2020): 280, https://doi.org/10.1353/eir.2020.0012.","dontUpdate":true,"noteIndex":5},"citationItems":[{"id":4712,"uris":["http://zotero.org/groups/791179/items/49JXBC9N"],"itemData":{"id":4712,"type":"article-journal","container-title":"Éire-Ireland (St. Paul)","DOI":"10.1353/eir.2020.0012","ISSN":"0013-2683","issue":"1","language":"eng","note":"publisher-place: MORRISTOWN\npublisher: Irish-American Cultural Institute","page":"279–298","source":"hollis.harvard.edu","title":"The Inner and Outer Limits of Gendered Transitional Justice","volume":"55","author":[{"family":"Ni Aolain","given":"Fionnuala"}],"issued":{"date-parts":[["2020"]]}},"locator":"280","label":"page"}],"schema":"https://github.com/citation-style-language/schema/raw/master/csl-citation.json"}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Fionnuala </w:t>
      </w:r>
      <w:r w:rsidR="004B1E69" w:rsidRPr="00E44DE1">
        <w:rPr>
          <w:rFonts w:ascii="Times New Roman" w:hAnsi="Times New Roman" w:cs="Times New Roman"/>
          <w:color w:val="000000" w:themeColor="text1"/>
          <w:sz w:val="22"/>
          <w:szCs w:val="22"/>
        </w:rPr>
        <w:t>Ní Aoláin</w:t>
      </w:r>
      <w:r w:rsidRPr="00E44DE1">
        <w:rPr>
          <w:rFonts w:ascii="Times New Roman" w:hAnsi="Times New Roman" w:cs="Times New Roman"/>
          <w:color w:val="000000" w:themeColor="text1"/>
          <w:sz w:val="22"/>
          <w:szCs w:val="22"/>
        </w:rPr>
        <w:t xml:space="preserve">, “The Inner and Outer Limits of Gendered Transitional Justice,” </w:t>
      </w:r>
      <w:r w:rsidRPr="00E44DE1">
        <w:rPr>
          <w:rFonts w:ascii="Times New Roman" w:hAnsi="Times New Roman" w:cs="Times New Roman"/>
          <w:i/>
          <w:iCs/>
          <w:color w:val="000000" w:themeColor="text1"/>
          <w:sz w:val="22"/>
          <w:szCs w:val="22"/>
        </w:rPr>
        <w:t>Éire-Ireland (St. Paul)</w:t>
      </w:r>
      <w:r w:rsidRPr="00E44DE1">
        <w:rPr>
          <w:rFonts w:ascii="Times New Roman" w:hAnsi="Times New Roman" w:cs="Times New Roman"/>
          <w:color w:val="000000" w:themeColor="text1"/>
          <w:sz w:val="22"/>
          <w:szCs w:val="22"/>
        </w:rPr>
        <w:t xml:space="preserve"> 55, no. 1 (2020): 280</w:t>
      </w:r>
      <w:r w:rsidR="00AE4A20"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end"/>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{"citationID":"JoSGMr6w","properties":{"formattedCitation":"Catherine O\\uc0\\u8217{}Rourke, \\uc0\\u8220{}Transitional Justice and Gender,\\uc0\\u8221{} in {\\i{}Research Handbook on Transitional Justice} (Edward Elgar Publishing, 2017), 117\\uc0\\u8211{}41, https://www.elgaronline.com/display/edcoll/9781781955307/9781781955307.00013.xml.","plainCitation":"Catherine O’Rourke, “Transitional Justice and Gender,” in Research Handbook on Transitional Justice (Edward Elgar Publishing, 2017), 117–41, https://www.elgaronline.com/display/edcoll/9781781955307/9781781955307.00013.xml.","dontUpdate":true,"noteIndex":5},"citationItems":[{"id":9950,"uris":["http://zotero.org/groups/2727724/items/Z2S68FH8"],"itemData":{"id":9950,"type":"chapter","abstract":"The chapter provides an introduction and overview of key themes and dilemmas in gender scholarship and practice in transitional justice. The chapter begins by addressing preliminary definitional issues concerning ‘gender’, while also outlining the international normative and policy framework that guides the treatment of gender in transitional justice practice. The chapter identifies and outlines the following key themes of gender work in the field: the definition of ‘harm’ in transitional justice; addressing structural gender inequalities through transitional justice; the participation of women in processes and mechanisms; the place of men and masculinities; and practice to date in addressing violations experienced by sexual minorities. The chapter considers some of the enduring dilemmas in gender work in transitional justice, in particular the ongoing challenge of operationalising gender in practice, whether such efforts should be principally technical or transformative, and the gender implications of the mooted relationship of transitional justice to empire. The chapter concludes by emphasizing the importance of translating scholarly and policy developments into gender-equitable outcomes in transitional justice.Gender; harm; inequalities; masculinities; sexual minorities; empire","container-title":"Research Handbook on Transitional Justice","ISBN":"978-1-78195-531-4","language":"en_US","note":"section: Research Handbook on Transitional Justice","page":"117-141","publisher":"Edward Elgar Publishing","source":"www-elgaronline-com.ezp-prod1.hul.harvard.edu","title":"Transitional justice and gender","URL":"https://www.elgaronline.com/display/edcoll/9781781955307/9781781955307.00013.xml","author":[{"family":"O’Rourke","given":"Catherine"}],"accessed":{"date-parts":[["2023",3,3]]},"issued":{"date-parts":[["2017",6,30]]}}}],"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Catherine O’Rourke, “Transitional Justice and Gender,” in </w:t>
      </w:r>
      <w:r w:rsidRPr="00E44DE1">
        <w:rPr>
          <w:rFonts w:ascii="Times New Roman" w:hAnsi="Times New Roman" w:cs="Times New Roman"/>
          <w:i/>
          <w:iCs/>
          <w:color w:val="000000" w:themeColor="text1"/>
          <w:sz w:val="22"/>
          <w:szCs w:val="22"/>
        </w:rPr>
        <w:t>Research Handbook on Transitional Justice</w:t>
      </w:r>
      <w:r w:rsidRPr="00E44DE1">
        <w:rPr>
          <w:rFonts w:ascii="Times New Roman" w:hAnsi="Times New Roman" w:cs="Times New Roman"/>
          <w:color w:val="000000" w:themeColor="text1"/>
          <w:sz w:val="22"/>
          <w:szCs w:val="22"/>
        </w:rPr>
        <w:t xml:space="preserve"> (Edward Elgar Publishing, 2017), 2.</w:t>
      </w:r>
      <w:r w:rsidRPr="00E44DE1">
        <w:rPr>
          <w:rFonts w:ascii="Times New Roman" w:hAnsi="Times New Roman" w:cs="Times New Roman"/>
          <w:color w:val="000000" w:themeColor="text1"/>
          <w:sz w:val="22"/>
          <w:szCs w:val="22"/>
        </w:rPr>
        <w:fldChar w:fldCharType="end"/>
      </w:r>
    </w:p>
  </w:footnote>
  <w:footnote w:id="7">
    <w:p w14:paraId="5FE45A27" w14:textId="4EFC77D9" w:rsidR="002678C7" w:rsidRPr="00E44DE1" w:rsidRDefault="002678C7" w:rsidP="002678C7">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For example,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{"citationID":"xMTG1Vbm","properties":{"formattedCitation":"Vasuki Nesiah, \\uc0\\u8220{}Missionary Zeal for a Secular Mission\\uc0\\u8239{}: Bringing Gender to Transitional Justice and Redemption to Feminism,\\uc0\\u8221{} in {\\i{}Feminist Perspectives on Contemporary International Law\\uc0\\u8239{}: Between Resistance and Compliance?}, ed. Sari Kouvo and Zoe Pearson (Hart Publishing, 2014), 137\\uc0\\u8211{}57, https://doi.org/10.5040/9781474201896.","plainCitation":"Vasuki Nesiah, “Missionary Zeal for a Secular Mission : Bringing Gender to Transitional Justice and Redemption to Feminism,” in Feminist Perspectives on Contemporary International Law : Between Resistance and Compliance?, ed. Sari Kouvo and Zoe Pearson (Hart Publishing, 2014), 137–57, https://doi.org/10.5040/9781474201896.","dontUpdate":true,"noteIndex":6},"citationItems":[{"id":9946,"uris":["http://zotero.org/groups/2727724/items/HKN2V4XV"],"itemData":{"id":9946,"type":"chapter","container-title":"Feminist Perspectives on Contemporary International Law : Between Resistance and Compliance?","ISBN":"978-1-84946-658-5","note":"DOI: 10.5040/9781474201896","page":"137-157","publisher":"Hart Publishing","source":"DOI.org (Crossref)","title":"Missionary Zeal for a Secular Mission : Bringing Gender to Transitional Justice and Redemption to Feminism","URL":"http://www.bloomsburycollections.com/book/feminist-perspectives-on-contemporary-international-law-between-resistance-and-compliance-1","author":[{"family":"Nesiah","given":"Vasuki"}],"editor":[{"family":"Kouvo","given":"Sari"},{"family":"Pearson","given":"Zoe"}],"accessed":{"date-parts":[["2023",3,3]]},"issued":{"date-parts":[["2014"]]}}}],"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Vasuki Nesiah, “Missionary Zeal for a Secular Mission: Bringing Gender to Transitional Justice and Redemption to Feminism,” in </w:t>
      </w:r>
      <w:r w:rsidRPr="00E44DE1">
        <w:rPr>
          <w:rFonts w:ascii="Times New Roman" w:hAnsi="Times New Roman" w:cs="Times New Roman"/>
          <w:i/>
          <w:iCs/>
          <w:color w:val="000000" w:themeColor="text1"/>
          <w:sz w:val="22"/>
          <w:szCs w:val="22"/>
        </w:rPr>
        <w:t>Feminist Perspectives on Contemporary International Law: Between Resistance and Compliance?</w:t>
      </w:r>
      <w:r w:rsidRPr="00E44DE1">
        <w:rPr>
          <w:rFonts w:ascii="Times New Roman" w:hAnsi="Times New Roman" w:cs="Times New Roman"/>
          <w:color w:val="000000" w:themeColor="text1"/>
          <w:sz w:val="22"/>
          <w:szCs w:val="22"/>
        </w:rPr>
        <w:t>, ed. Sari Kouvo and Zoe Pearson (Hart Publishing, 2014), 137–</w:t>
      </w:r>
      <w:r w:rsidR="00F04E49" w:rsidRPr="00E44DE1">
        <w:rPr>
          <w:rFonts w:ascii="Times New Roman" w:hAnsi="Times New Roman" w:cs="Times New Roman"/>
          <w:color w:val="000000" w:themeColor="text1"/>
          <w:sz w:val="22"/>
          <w:szCs w:val="22"/>
        </w:rPr>
        <w:t>1</w:t>
      </w:r>
      <w:r w:rsidRPr="00E44DE1">
        <w:rPr>
          <w:rFonts w:ascii="Times New Roman" w:hAnsi="Times New Roman" w:cs="Times New Roman"/>
          <w:color w:val="000000" w:themeColor="text1"/>
          <w:sz w:val="22"/>
          <w:szCs w:val="22"/>
        </w:rPr>
        <w:t>57</w:t>
      </w:r>
      <w:r w:rsidR="004E529F"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end"/>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{"citationID":"UUgJHD76","properties":{"formattedCitation":"O\\uc0\\u8217{}Rourke, \\uc0\\u8220{}Transitional Justice and Gender.\\uc0\\u8221{}","plainCitation":"O’Rourke, “Transitional Justice and Gender.”","noteIndex":6},"citationItems":[{"id":9950,"uris":["http://zotero.org/groups/2727724/items/Z2S68FH8"],"itemData":{"id":9950,"type":"chapter","abstract":"The chapter provides an introduction and overview of key themes and dilemmas in gender scholarship and practice in transitional justice. The chapter begins by addressing preliminary definitional issues concerning ‘gender’, while also outlining the international normative and policy framework that guides the treatment of gender in transitional justice practice. The chapter identifies and outlines the following key themes of gender work in the field: the definition of ‘harm’ in transitional justice; addressing structural gender inequalities through transitional justice; the participation of women in processes and mechanisms; the place of men and masculinities; and practice to date in addressing violations experienced by sexual minorities. The chapter considers some of the enduring dilemmas in gender work in transitional justice, in particular the ongoing challenge of operationalising gender in practice, whether such efforts should be principally technical or transformative, and the gender implications of the mooted relationship of transitional justice to empire. The chapter concludes by emphasizing the importance of translating scholarly and policy developments into gender-equitable outcomes in transitional justice.Gender; harm; inequalities; masculinities; sexual minorities; empire","container-title":"Research Handbook on Transitional Justice","ISBN":"978-1-78195-531-4","language":"en_US","note":"section: Research Handbook on Transitional Justice","page":"117-141","publisher":"Edward Elgar Publishing","source":"www-elgaronline-com.ezp-prod1.hul.harvard.edu","title":"Transitional justice and gender","URL":"https://www.elgaronline.com/display/edcoll/9781781955307/9781781955307.00013.xml","author":[{"family":"O’Rourke","given":"Catherine"}],"accessed":{"date-parts":[["2023",3,3]]},"issued":{"date-parts":[["2017",6,30]]}}}],"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O’Rourke, “Transitional Justice and Gender.”</w:t>
      </w:r>
      <w:r w:rsidRPr="00E44DE1">
        <w:rPr>
          <w:rFonts w:ascii="Times New Roman" w:hAnsi="Times New Roman" w:cs="Times New Roman"/>
          <w:color w:val="000000" w:themeColor="text1"/>
          <w:sz w:val="22"/>
          <w:szCs w:val="22"/>
        </w:rPr>
        <w:fldChar w:fldCharType="end"/>
      </w:r>
    </w:p>
  </w:footnote>
  <w:footnote w:id="8">
    <w:p w14:paraId="566366B4" w14:textId="22A930E4" w:rsidR="002678C7" w:rsidRPr="00E44DE1" w:rsidRDefault="002678C7" w:rsidP="002678C7">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00525F8E" w:rsidRPr="00E44DE1">
        <w:rPr>
          <w:rFonts w:ascii="Times New Roman" w:hAnsi="Times New Roman" w:cs="Times New Roman"/>
          <w:color w:val="000000" w:themeColor="text1"/>
          <w:sz w:val="22"/>
          <w:szCs w:val="22"/>
        </w:rPr>
        <w:t xml:space="preserve">Brandon Hamber, Masculinity and Transitional Justice: An Exploratory Essay,” </w:t>
      </w:r>
      <w:r w:rsidR="00525F8E" w:rsidRPr="00E44DE1">
        <w:rPr>
          <w:rFonts w:ascii="Times New Roman" w:hAnsi="Times New Roman" w:cs="Times New Roman"/>
          <w:i/>
          <w:iCs/>
          <w:color w:val="000000" w:themeColor="text1"/>
          <w:sz w:val="22"/>
          <w:szCs w:val="22"/>
        </w:rPr>
        <w:t>The International Journal of Transitional Justice</w:t>
      </w:r>
      <w:r w:rsidR="00525F8E" w:rsidRPr="00E44DE1">
        <w:rPr>
          <w:rFonts w:ascii="Times New Roman" w:hAnsi="Times New Roman" w:cs="Times New Roman"/>
          <w:color w:val="000000" w:themeColor="text1"/>
          <w:sz w:val="22"/>
          <w:szCs w:val="22"/>
        </w:rPr>
        <w:t xml:space="preserve"> 1, no. 3 (2007): 375-390. </w:t>
      </w:r>
      <w:r w:rsidR="00F5177E" w:rsidRPr="00E44DE1">
        <w:rPr>
          <w:rFonts w:ascii="Times New Roman" w:hAnsi="Times New Roman" w:cs="Times New Roman"/>
          <w:color w:val="000000" w:themeColor="text1"/>
          <w:sz w:val="22"/>
          <w:szCs w:val="22"/>
        </w:rPr>
        <w:t xml:space="preserve">Pascha Bueno-Hansen, “The Emerging LGBTI Rights Challenge to Transitional Justice in Latin America,” </w:t>
      </w:r>
      <w:r w:rsidR="00F5177E" w:rsidRPr="00E44DE1">
        <w:rPr>
          <w:rFonts w:ascii="Times New Roman" w:hAnsi="Times New Roman" w:cs="Times New Roman"/>
          <w:i/>
          <w:iCs/>
          <w:color w:val="000000" w:themeColor="text1"/>
          <w:sz w:val="22"/>
          <w:szCs w:val="22"/>
        </w:rPr>
        <w:t>International Journal of Transitional Justice</w:t>
      </w:r>
      <w:r w:rsidR="00F5177E" w:rsidRPr="00E44DE1">
        <w:rPr>
          <w:rFonts w:ascii="Times New Roman" w:hAnsi="Times New Roman" w:cs="Times New Roman"/>
          <w:color w:val="000000" w:themeColor="text1"/>
          <w:sz w:val="22"/>
          <w:szCs w:val="22"/>
        </w:rPr>
        <w:t xml:space="preserve"> 12, no. 1 (March 2018): 126–45; </w:t>
      </w:r>
      <w:r w:rsidRPr="00E44DE1">
        <w:rPr>
          <w:rFonts w:ascii="Times New Roman" w:hAnsi="Times New Roman" w:cs="Times New Roman"/>
          <w:color w:val="000000" w:themeColor="text1"/>
          <w:sz w:val="22"/>
          <w:szCs w:val="22"/>
        </w:rPr>
        <w:t xml:space="preserve">Olivera Simic, “Engendering Transitional Justice: Silence, Absence and Repair,” </w:t>
      </w:r>
      <w:r w:rsidRPr="00E44DE1">
        <w:rPr>
          <w:rFonts w:ascii="Times New Roman" w:hAnsi="Times New Roman" w:cs="Times New Roman"/>
          <w:i/>
          <w:iCs/>
          <w:color w:val="000000" w:themeColor="text1"/>
          <w:sz w:val="22"/>
          <w:szCs w:val="22"/>
        </w:rPr>
        <w:t>Human Rights Review</w:t>
      </w:r>
      <w:r w:rsidRPr="00E44DE1">
        <w:rPr>
          <w:rFonts w:ascii="Times New Roman" w:hAnsi="Times New Roman" w:cs="Times New Roman"/>
          <w:color w:val="000000" w:themeColor="text1"/>
          <w:sz w:val="22"/>
          <w:szCs w:val="22"/>
        </w:rPr>
        <w:t xml:space="preserve"> 17, no. 1 (March 2016): 1–8.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{"citationID":"wtuOBMx5","properties":{"formattedCitation":"Meredith Loken and Jamie J. Hagen, \\uc0\\u8220{}Queering Gender-Based Violence Scholarship: An Integrated Research Agenda,\\uc0\\u8221{} {\\i{}INTERNATIONAL STUDIES REVIEW} 24, no. 4 (2022), https://doi.org/10.1093/isr/viac050.","plainCitation":"Meredith Loken and Jamie J. Hagen, “Queering Gender-Based Violence Scholarship: An Integrated Research Agenda,” INTERNATIONAL STUDIES REVIEW 24, no. 4 (2022), https://doi.org/10.1093/isr/viac050.","dontUpdate":true,"noteIndex":7},"citationItems":[{"id":13131,"uris":["http://zotero.org/groups/2727724/items/QTA42DXB"],"itemData":{"id":13131,"type":"article-journal","abstract":"Research on armed conflict's gender dynamics has expanded significantly in the past decade. However, research in this field pays little attention to sexual orientation and gender identity. Moreover, where scholarship focused on violence against sexual and gender minority (SGM) individuals during war exists, it is largely divorced from work on gender-based violence (GBV) in conflict-related environments and from sexuality studies. In this article, we integrate these bodies of work and argue for the theoretical expansion of GBV as a conceptual, empirical, and analytic category to study and explain targeted attacks against lesbian, gay, bisexual, transgender, and otherwise queer individuals. We suggest two theoretical interventions to better equip existing GBV frameworks to explain violence perpetrated against SGM people. We argue, first, that violence targeting SGM communities is GBV, as sexuality and gender identity are integral components of gender, and second, that analyzing gender dynamics adds to our understanding of when, how, and why targeting SGM individuals composes part of an organization's regulatory \"repertoire of violence.\" We examine violence in Colombia's civil war as an illustrative application of our approach and we identify future, fruitful research avenues with important policy implications for studying and responding to GBV during war.","container-title":"INTERNATIONAL STUDIES REVIEW","DOI":"10.1093/isr/viac050","ISSN":"1521-9488","issue":"4","language":"eng","note":"publisher-place: OXFORD\npublisher: Oxford Univ Press","source":"hollis.harvard.edu","title":"Queering Gender-Based Violence Scholarship: An Integrated Research Agenda","title-short":"Queering Gender-Based Violence Scholarship","volume":"24","author":[{"family":"Loken","given":"Meredith"},{"family":"Hagen","given":"Jamie J."}],"issued":{"date-parts":[["2022"]]}}}],"schema":"https://github.com/citation-style-language/schema/raw/master/csl-citation.json"}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Meredith Loken and Jamie J. Hagen, “Queering Gender-Based Violence Scholarship: An Integrated Research Agenda,” </w:t>
      </w:r>
      <w:r w:rsidRPr="00E44DE1">
        <w:rPr>
          <w:rFonts w:ascii="Times New Roman" w:hAnsi="Times New Roman" w:cs="Times New Roman"/>
          <w:i/>
          <w:iCs/>
          <w:color w:val="000000" w:themeColor="text1"/>
          <w:sz w:val="22"/>
          <w:szCs w:val="22"/>
        </w:rPr>
        <w:t>I</w:t>
      </w:r>
      <w:r w:rsidR="00B038F1" w:rsidRPr="00E44DE1">
        <w:rPr>
          <w:rFonts w:ascii="Times New Roman" w:hAnsi="Times New Roman" w:cs="Times New Roman"/>
          <w:i/>
          <w:iCs/>
          <w:color w:val="000000" w:themeColor="text1"/>
          <w:sz w:val="22"/>
          <w:szCs w:val="22"/>
        </w:rPr>
        <w:t>nternational Studies Rev</w:t>
      </w:r>
      <w:r w:rsidR="0068084D" w:rsidRPr="00E44DE1">
        <w:rPr>
          <w:rFonts w:ascii="Times New Roman" w:hAnsi="Times New Roman" w:cs="Times New Roman"/>
          <w:i/>
          <w:iCs/>
          <w:color w:val="000000" w:themeColor="text1"/>
          <w:sz w:val="22"/>
          <w:szCs w:val="22"/>
        </w:rPr>
        <w:t>i</w:t>
      </w:r>
      <w:r w:rsidR="00B038F1" w:rsidRPr="00E44DE1">
        <w:rPr>
          <w:rFonts w:ascii="Times New Roman" w:hAnsi="Times New Roman" w:cs="Times New Roman"/>
          <w:i/>
          <w:iCs/>
          <w:color w:val="000000" w:themeColor="text1"/>
          <w:sz w:val="22"/>
          <w:szCs w:val="22"/>
        </w:rPr>
        <w:t>ew</w:t>
      </w:r>
      <w:r w:rsidRPr="00E44DE1">
        <w:rPr>
          <w:rFonts w:ascii="Times New Roman" w:hAnsi="Times New Roman" w:cs="Times New Roman"/>
          <w:color w:val="000000" w:themeColor="text1"/>
          <w:sz w:val="22"/>
          <w:szCs w:val="22"/>
        </w:rPr>
        <w:t xml:space="preserve"> 24, no. 4 (2022).</w:t>
      </w:r>
      <w:r w:rsidRPr="00E44DE1">
        <w:rPr>
          <w:rFonts w:ascii="Times New Roman" w:hAnsi="Times New Roman" w:cs="Times New Roman"/>
          <w:color w:val="000000" w:themeColor="text1"/>
          <w:sz w:val="22"/>
          <w:szCs w:val="22"/>
        </w:rPr>
        <w:fldChar w:fldCharType="end"/>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{"citationID":"9inoHTei","properties":{"formattedCitation":"O\\uc0\\u8217{}Rourke, \\uc0\\u8220{}Transitional Justice and Gender.\\uc0\\u8221{}","plainCitation":"O’Rourke, “Transitional Justice and Gender.”","dontUpdate":true,"noteIndex":7},"citationItems":[{"id":9950,"uris":["http://zotero.org/groups/2727724/items/Z2S68FH8"],"itemData":{"id":9950,"type":"chapter","abstract":"The chapter provides an introduction and overview of key themes and dilemmas in gender scholarship and practice in transitional justice. The chapter begins by addressing preliminary definitional issues concerning ‘gender’, while also outlining the international normative and policy framework that guides the treatment of gender in transitional justice practice. The chapter identifies and outlines the following key themes of gender work in the field: the definition of ‘harm’ in transitional justice; addressing structural gender inequalities through transitional justice; the participation of women in processes and mechanisms; the place of men and masculinities; and practice to date in addressing violations experienced by sexual minorities. The chapter considers some of the enduring dilemmas in gender work in transitional justice, in particular the ongoing challenge of operationalising gender in practice, whether such efforts should be principally technical or transformative, and the gender implications of the mooted relationship of transitional justice to empire. The chapter concludes by emphasizing the importance of translating scholarly and policy developments into gender-equitable outcomes in transitional justice.Gender; harm; inequalities; masculinities; sexual minorities; empire","container-title":"Research Handbook on Transitional Justice","ISBN":"978-1-78195-531-4","language":"en_US","note":"section: Research Handbook on Transitional Justice","page":"117-141","publisher":"Edward Elgar Publishing","source":"www-elgaronline-com.ezp-prod1.hul.harvard.edu","title":"Transitional justice and gender","URL":"https://www.elgaronline.com/display/edcoll/9781781955307/9781781955307.00013.xml","author":[{"family":"O’Rourke","given":"Catherine"}],"accessed":{"date-parts":[["2023",3,3]]},"issued":{"date-parts":[["2017",6,30]]}}}],"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O’Rourke, “Transitional Justice and Gender</w:t>
      </w:r>
      <w:r w:rsidR="00804A53"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fldChar w:fldCharType="end"/>
      </w:r>
      <w:r w:rsidR="00E11E57"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t>18</w:t>
      </w:r>
      <w:r w:rsidR="002D4CB2" w:rsidRPr="00E44DE1">
        <w:rPr>
          <w:rFonts w:ascii="Times New Roman" w:hAnsi="Times New Roman" w:cs="Times New Roman"/>
          <w:color w:val="000000" w:themeColor="text1"/>
          <w:sz w:val="22"/>
          <w:szCs w:val="22"/>
        </w:rPr>
        <w:t xml:space="preserve">; </w:t>
      </w:r>
      <w:r w:rsidR="00AD5EDF" w:rsidRPr="00E44DE1">
        <w:rPr>
          <w:rFonts w:ascii="Times New Roman" w:hAnsi="Times New Roman" w:cs="Times New Roman"/>
          <w:color w:val="000000" w:themeColor="text1"/>
          <w:sz w:val="22"/>
          <w:szCs w:val="22"/>
        </w:rPr>
        <w:t xml:space="preserve">Philipp Schulz, </w:t>
      </w:r>
      <w:r w:rsidR="00AD5EDF" w:rsidRPr="00E44DE1">
        <w:rPr>
          <w:rFonts w:ascii="Times New Roman" w:hAnsi="Times New Roman" w:cs="Times New Roman"/>
          <w:i/>
          <w:iCs/>
          <w:color w:val="000000" w:themeColor="text1"/>
          <w:sz w:val="22"/>
          <w:szCs w:val="22"/>
        </w:rPr>
        <w:t>Male Survivors of Wartime Sexual Violence: Perspectives from Northern Uganda</w:t>
      </w:r>
      <w:r w:rsidR="00AD5EDF" w:rsidRPr="00E44DE1">
        <w:rPr>
          <w:rFonts w:ascii="Times New Roman" w:hAnsi="Times New Roman" w:cs="Times New Roman"/>
          <w:color w:val="000000" w:themeColor="text1"/>
          <w:sz w:val="22"/>
          <w:szCs w:val="22"/>
        </w:rPr>
        <w:t xml:space="preserve"> </w:t>
      </w:r>
      <w:r w:rsidR="00425A6F" w:rsidRPr="00E44DE1">
        <w:rPr>
          <w:rFonts w:ascii="Times New Roman" w:hAnsi="Times New Roman" w:cs="Times New Roman"/>
          <w:color w:val="000000" w:themeColor="text1"/>
          <w:sz w:val="22"/>
          <w:szCs w:val="22"/>
        </w:rPr>
        <w:t>(</w:t>
      </w:r>
      <w:r w:rsidR="00AD5EDF" w:rsidRPr="00E44DE1">
        <w:rPr>
          <w:rFonts w:ascii="Times New Roman" w:hAnsi="Times New Roman" w:cs="Times New Roman"/>
          <w:color w:val="000000" w:themeColor="text1"/>
          <w:sz w:val="22"/>
          <w:szCs w:val="22"/>
        </w:rPr>
        <w:t>University of California Press, 2021</w:t>
      </w:r>
      <w:r w:rsidR="007648EA" w:rsidRPr="00E44DE1">
        <w:rPr>
          <w:rFonts w:ascii="Times New Roman" w:hAnsi="Times New Roman" w:cs="Times New Roman"/>
          <w:color w:val="000000" w:themeColor="text1"/>
          <w:sz w:val="22"/>
          <w:szCs w:val="22"/>
        </w:rPr>
        <w:t>)</w:t>
      </w:r>
      <w:r w:rsidR="00AD5EDF" w:rsidRPr="00E44DE1">
        <w:rPr>
          <w:rFonts w:ascii="Times New Roman" w:hAnsi="Times New Roman" w:cs="Times New Roman"/>
          <w:color w:val="000000" w:themeColor="text1"/>
          <w:sz w:val="22"/>
          <w:szCs w:val="22"/>
        </w:rPr>
        <w:t>.</w:t>
      </w:r>
      <w:r w:rsidR="00A35DBB" w:rsidRPr="00E44DE1">
        <w:rPr>
          <w:rFonts w:ascii="Times New Roman" w:hAnsi="Times New Roman" w:cs="Times New Roman"/>
          <w:color w:val="000000" w:themeColor="text1"/>
          <w:sz w:val="22"/>
          <w:szCs w:val="22"/>
        </w:rPr>
        <w:t xml:space="preserve"> Schulz acknowledges that while early definitions of sexual violence</w:t>
      </w:r>
      <w:r w:rsidR="0098747C" w:rsidRPr="00E44DE1">
        <w:rPr>
          <w:rFonts w:ascii="Times New Roman" w:hAnsi="Times New Roman" w:cs="Times New Roman"/>
          <w:color w:val="000000" w:themeColor="text1"/>
          <w:sz w:val="22"/>
          <w:szCs w:val="22"/>
        </w:rPr>
        <w:t xml:space="preserve"> did not </w:t>
      </w:r>
      <w:r w:rsidR="00442BCE" w:rsidRPr="00E44DE1">
        <w:rPr>
          <w:rFonts w:ascii="Times New Roman" w:hAnsi="Times New Roman" w:cs="Times New Roman"/>
          <w:color w:val="000000" w:themeColor="text1"/>
          <w:sz w:val="22"/>
          <w:szCs w:val="22"/>
        </w:rPr>
        <w:t>include</w:t>
      </w:r>
      <w:r w:rsidR="0098747C" w:rsidRPr="00E44DE1">
        <w:rPr>
          <w:rFonts w:ascii="Times New Roman" w:hAnsi="Times New Roman" w:cs="Times New Roman"/>
          <w:color w:val="000000" w:themeColor="text1"/>
          <w:sz w:val="22"/>
          <w:szCs w:val="22"/>
        </w:rPr>
        <w:t xml:space="preserve"> men and boys as victims</w:t>
      </w:r>
      <w:r w:rsidR="00593698" w:rsidRPr="00E44DE1">
        <w:rPr>
          <w:rFonts w:ascii="Times New Roman" w:hAnsi="Times New Roman" w:cs="Times New Roman"/>
          <w:color w:val="000000" w:themeColor="text1"/>
          <w:sz w:val="22"/>
          <w:szCs w:val="22"/>
        </w:rPr>
        <w:t>, “more recent definitions have tended to employ gender-neutral language, thereby also recognizing men and boys alongside women and girls as potential victims of sexual violence</w:t>
      </w:r>
      <w:r w:rsidR="00F261AF" w:rsidRPr="00E44DE1">
        <w:rPr>
          <w:rFonts w:ascii="Times New Roman" w:hAnsi="Times New Roman" w:cs="Times New Roman"/>
          <w:color w:val="000000" w:themeColor="text1"/>
          <w:sz w:val="22"/>
          <w:szCs w:val="22"/>
        </w:rPr>
        <w:t>” (</w:t>
      </w:r>
      <w:r w:rsidR="007B59B6" w:rsidRPr="00E44DE1">
        <w:rPr>
          <w:rFonts w:ascii="Times New Roman" w:hAnsi="Times New Roman" w:cs="Times New Roman"/>
          <w:color w:val="000000" w:themeColor="text1"/>
          <w:sz w:val="22"/>
          <w:szCs w:val="22"/>
        </w:rPr>
        <w:t>32).</w:t>
      </w:r>
      <w:r w:rsidR="009D67DB" w:rsidRPr="00E44DE1">
        <w:rPr>
          <w:rFonts w:ascii="Times New Roman" w:hAnsi="Times New Roman" w:cs="Times New Roman"/>
          <w:color w:val="000000" w:themeColor="text1"/>
          <w:sz w:val="22"/>
          <w:szCs w:val="22"/>
        </w:rPr>
        <w:t xml:space="preserve"> However, </w:t>
      </w:r>
      <w:r w:rsidR="007F5A57" w:rsidRPr="00E44DE1">
        <w:rPr>
          <w:rFonts w:ascii="Times New Roman" w:hAnsi="Times New Roman" w:cs="Times New Roman"/>
          <w:color w:val="000000" w:themeColor="text1"/>
          <w:sz w:val="22"/>
          <w:szCs w:val="22"/>
        </w:rPr>
        <w:t>gender-nonco</w:t>
      </w:r>
      <w:r w:rsidR="00F922DA" w:rsidRPr="00E44DE1">
        <w:rPr>
          <w:rFonts w:ascii="Times New Roman" w:hAnsi="Times New Roman" w:cs="Times New Roman"/>
          <w:color w:val="000000" w:themeColor="text1"/>
          <w:sz w:val="22"/>
          <w:szCs w:val="22"/>
        </w:rPr>
        <w:t>n</w:t>
      </w:r>
      <w:r w:rsidR="007F5A57" w:rsidRPr="00E44DE1">
        <w:rPr>
          <w:rFonts w:ascii="Times New Roman" w:hAnsi="Times New Roman" w:cs="Times New Roman"/>
          <w:color w:val="000000" w:themeColor="text1"/>
          <w:sz w:val="22"/>
          <w:szCs w:val="22"/>
        </w:rPr>
        <w:t xml:space="preserve">forming identities </w:t>
      </w:r>
      <w:r w:rsidR="00EA5BA7" w:rsidRPr="00E44DE1">
        <w:rPr>
          <w:rFonts w:ascii="Times New Roman" w:hAnsi="Times New Roman" w:cs="Times New Roman"/>
          <w:color w:val="000000" w:themeColor="text1"/>
          <w:sz w:val="22"/>
          <w:szCs w:val="22"/>
        </w:rPr>
        <w:t xml:space="preserve">are </w:t>
      </w:r>
      <w:r w:rsidR="00B96E97" w:rsidRPr="00E44DE1">
        <w:rPr>
          <w:rFonts w:ascii="Times New Roman" w:hAnsi="Times New Roman" w:cs="Times New Roman"/>
          <w:color w:val="000000" w:themeColor="text1"/>
          <w:sz w:val="22"/>
          <w:szCs w:val="22"/>
        </w:rPr>
        <w:t xml:space="preserve">still largely </w:t>
      </w:r>
      <w:r w:rsidR="00E47E9E" w:rsidRPr="00E44DE1">
        <w:rPr>
          <w:rFonts w:ascii="Times New Roman" w:hAnsi="Times New Roman" w:cs="Times New Roman"/>
          <w:color w:val="000000" w:themeColor="text1"/>
          <w:sz w:val="22"/>
          <w:szCs w:val="22"/>
        </w:rPr>
        <w:t>not recognized as victims of sexual violence</w:t>
      </w:r>
      <w:r w:rsidR="00614EB6" w:rsidRPr="00E44DE1">
        <w:rPr>
          <w:rFonts w:ascii="Times New Roman" w:hAnsi="Times New Roman" w:cs="Times New Roman"/>
          <w:color w:val="000000" w:themeColor="text1"/>
          <w:sz w:val="22"/>
          <w:szCs w:val="22"/>
        </w:rPr>
        <w:t xml:space="preserve"> by scholars and practitioners</w:t>
      </w:r>
      <w:r w:rsidR="00E47E9E" w:rsidRPr="00E44DE1">
        <w:rPr>
          <w:rFonts w:ascii="Times New Roman" w:hAnsi="Times New Roman" w:cs="Times New Roman"/>
          <w:color w:val="000000" w:themeColor="text1"/>
          <w:sz w:val="22"/>
          <w:szCs w:val="22"/>
        </w:rPr>
        <w:t>.</w:t>
      </w:r>
    </w:p>
  </w:footnote>
  <w:footnote w:id="9">
    <w:p w14:paraId="3E67EDBE" w14:textId="301873FF" w:rsidR="002678C7" w:rsidRPr="00E44DE1" w:rsidRDefault="002678C7" w:rsidP="002678C7">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{"citationID":"b1tGCybH","properties":{"formattedCitation":"See for example PAUL KIRBY, \\uc0\\u8220{}Ending Sexual Violence in Conflict: The Preventing Sexual Violence Initiative and Its Critics,\\uc0\\u8221{} {\\i{}International Affairs (London)} 91, no. 3 (2015): 457\\uc0\\u8211{}72, https://doi.org/10.1111/1468-2346.12283; Kevin Hearty, \\uc0\\u8220{}\\uc0\\u8216{}Victims of\\uc0\\u8217{} Human Rights Abuses in Transitional Justice: Hierarchies, Perpetrators and the Struggle for Peace,\\uc0\\u8221{} {\\i{}The International Journal of Human Rights} 22, no. 7 (August 9, 2018): 888\\uc0\\u8211{}909, https://doi.org/10.1080/13642987.2018.1485656.","plainCitation":"See for example PAUL KIRBY, “Ending Sexual Violence in Conflict: The Preventing Sexual Violence Initiative and Its Critics,” International Affairs (London) 91, no. 3 (2015): 457–72, https://doi.org/10.1111/1468-2346.12283; Kevin Hearty, “‘Victims of’ Human Rights Abuses in Transitional Justice: Hierarchies, Perpetrators and the Struggle for Peace,” The International Journal of Human Rights 22, no. 7 (August 9, 2018): 888–909, https://doi.org/10.1080/13642987.2018.1485656.","dontUpdate":true,"noteIndex":8},"citationItems":[{"id":15124,"uris":["http://zotero.org/groups/2727724/items/ZRFFQ9LA"],"itemData":{"id":15124,"type":"article-journal","abstract":"During the past year, the UK Government has become the lead advocate for a perhaps surprising foreign policy goal: ending sexual violence in conflict. The participation of government representatives from more than 120 countries in a London Summit in June 2014 was the clearest manifestation of this project. This article offers an early assessment of the Preventing Sexual Violence Initiative (PSVI) and situates it within the history of global action against sexual and gender-based violence from UN Security Council Resolution 1325 onwards, with a particular focus on three key developments. First, the PSVI has embraced the already common understanding of rape as a 'weapon of war', and has stressed the importance of military training and accountability. This has exposed the tensions within global policy between a focus on all forms of sexual violence (including intimate partner violence in and out of conflict situations) on the one hand, and war zone activities on the other. Second, the Initiative has placed great emphasis on ending impunity, which implicates it in ongoing debates about the role of international and local justice as an effective response to atrocity. Third, men and boys have been foregrounded as ignored victims of sexual and gender-based violence. The PSVI has been crucial to that recognition, but faces significant challenges in operationalizing its commitment and in avoiding damage to existing programmes to end violence against women and girls. The success of the Initiative will depend on its ability to navigate these challenges in multiple arenas of global politics.","container-title":"International affairs (London)","DOI":"10.1111/1468-2346.12283","ISSN":"0020-5850","issue":"3","language":"eng","note":"publisher-place: OXFORD\npublisher: Blackwell Publishing Ltd","page":"457–472","source":"hollis.harvard.edu","title":"Ending sexual violence in conflict: the Preventing Sexual Violence Initiative and its critics","title-short":"Ending sexual violence in conflict","volume":"91","author":[{"family":"KIRBY","given":"PAUL"}],"issued":{"date-parts":[["2015"]]}},"prefix":"See for example"},{"id":16007,"uris":["http://zotero.org/groups/2727724/items/2WCLCURL"],"itemData":{"id":16007,"type":"article-journal","abstract":"This article critically examines how multifarious levels of division among victim constituencies have shaped legal and non-legal transitional justice responses to human rights violations. It submits that this division has caused such responses to operate in accordance with the notion of being a ‘victim of’ rather than that of simply being a victim of human rights abuse per se. Expanding from this position, it proffers the theoretical viewpoint that transitional justice responses are premised on the nuanced typologies of being a victim of a particular perpetrator or being a victim of a particular harm or being a victim of particular circumstances. When determining which victims to offer redress to, which victimisers to punish and which harms to repair, these approaches have by necessity fallen back on hierarchies that favour certain victims and harms above others. This process of hierarchisation is multi-layered and involves interplay between ideological, gendered and class-based factors that place certain victims outside the reach of transitional justice discourses and processes. The exclusion of these victims, the article argues, creates an invisibilised category of victims of the peace that fail to benefit from transitional justice processes that struggle to deal with the complexity their situations present.","container-title":"The International Journal of Human Rights","DOI":"10.1080/13642987.2018.1485656","ISSN":"1364-2987","issue":"7","note":"publisher: Routledge\n_eprint: https://doi.org/10.1080/13642987.2018.1485656","page":"888-909","source":"Taylor and Francis+NEJM","title":"‘Victims of’ human rights abuses in transitional justice: hierarchies, perpetrators and the struggle for peace","title-short":"‘Victims of’ human rights abuses in transitional justice","volume":"22","author":[{"family":"Hearty","given":"Kevin"}],"issued":{"date-parts":[["2018",8,9]]}}}],"schema":"https://github.com/citation-style-language/schema/raw/master/csl-citation.json"}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See</w:t>
      </w:r>
      <w:r w:rsidR="009A51D6"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for example</w:t>
      </w:r>
      <w:r w:rsidR="009A51D6"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P</w:t>
      </w:r>
      <w:r w:rsidR="00637010" w:rsidRPr="00E44DE1">
        <w:rPr>
          <w:rFonts w:ascii="Times New Roman" w:hAnsi="Times New Roman" w:cs="Times New Roman"/>
          <w:color w:val="000000" w:themeColor="text1"/>
          <w:sz w:val="22"/>
          <w:szCs w:val="22"/>
        </w:rPr>
        <w:t>aul Kirby</w:t>
      </w:r>
      <w:r w:rsidRPr="00E44DE1">
        <w:rPr>
          <w:rFonts w:ascii="Times New Roman" w:hAnsi="Times New Roman" w:cs="Times New Roman"/>
          <w:color w:val="000000" w:themeColor="text1"/>
          <w:sz w:val="22"/>
          <w:szCs w:val="22"/>
        </w:rPr>
        <w:t xml:space="preserve">, “Ending Sexual Violence in Conflict: The Preventing Sexual Violence Initiative and Its Critics,” </w:t>
      </w:r>
      <w:r w:rsidRPr="00E44DE1">
        <w:rPr>
          <w:rFonts w:ascii="Times New Roman" w:hAnsi="Times New Roman" w:cs="Times New Roman"/>
          <w:i/>
          <w:iCs/>
          <w:color w:val="000000" w:themeColor="text1"/>
          <w:sz w:val="22"/>
          <w:szCs w:val="22"/>
        </w:rPr>
        <w:t>International Affairs (London)</w:t>
      </w:r>
      <w:r w:rsidRPr="00E44DE1">
        <w:rPr>
          <w:rFonts w:ascii="Times New Roman" w:hAnsi="Times New Roman" w:cs="Times New Roman"/>
          <w:color w:val="000000" w:themeColor="text1"/>
          <w:sz w:val="22"/>
          <w:szCs w:val="22"/>
        </w:rPr>
        <w:t xml:space="preserve"> 91, no. 3 (2015): 457–72; Kevin Hearty, “‘Victims of’ Human Rights Abuses in Transitional Justice: Hierarchies, Perpetrators and the Struggle for Peace,” </w:t>
      </w:r>
      <w:r w:rsidRPr="00E44DE1">
        <w:rPr>
          <w:rFonts w:ascii="Times New Roman" w:hAnsi="Times New Roman" w:cs="Times New Roman"/>
          <w:i/>
          <w:iCs/>
          <w:color w:val="000000" w:themeColor="text1"/>
          <w:sz w:val="22"/>
          <w:szCs w:val="22"/>
        </w:rPr>
        <w:t>The International Journal of Human Rights</w:t>
      </w:r>
      <w:r w:rsidRPr="00E44DE1">
        <w:rPr>
          <w:rFonts w:ascii="Times New Roman" w:hAnsi="Times New Roman" w:cs="Times New Roman"/>
          <w:color w:val="000000" w:themeColor="text1"/>
          <w:sz w:val="22"/>
          <w:szCs w:val="22"/>
        </w:rPr>
        <w:t xml:space="preserve"> 22, no. 7 (August 2018): 888–909</w:t>
      </w:r>
      <w:r w:rsidR="00DC452B"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fldChar w:fldCharType="end"/>
      </w:r>
      <w:r w:rsidR="00E97EB3" w:rsidRPr="00E44DE1">
        <w:rPr>
          <w:rFonts w:ascii="Times New Roman" w:hAnsi="Times New Roman" w:cs="Times New Roman"/>
          <w:color w:val="000000" w:themeColor="text1"/>
          <w:sz w:val="22"/>
          <w:szCs w:val="22"/>
        </w:rPr>
        <w:t xml:space="preserve"> </w:t>
      </w:r>
    </w:p>
  </w:footnote>
  <w:footnote w:id="10">
    <w:p w14:paraId="123615F6" w14:textId="054542D0" w:rsidR="002C72BF" w:rsidRPr="00E44DE1" w:rsidRDefault="002C72BF" w:rsidP="002C72BF">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See, for example,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{"citationID":"KQfyePkS","properties":{"formattedCitation":"Alex Vandermaas-Peeler, Jelena Subotic, and Michael Barnett, \\uc0\\u8220{}Constructing Victims: Suffering and Status in Modern World Order,\\uc0\\u8221{} {\\i{}Review of International Studies}, December 22, 2022, 1\\uc0\\u8211{}19, https://doi.org/10.1017/S0260210522000596.","plainCitation":"Alex Vandermaas-Peeler, Jelena Subotic, and Michael Barnett, “Constructing Victims: Suffering and Status in Modern World Order,” Review of International Studies, December 22, 2022, 1–19, https://doi.org/10.1017/S0260210522000596.","dontUpdate":true,"noteIndex":9},"citationItems":[{"id":13134,"uris":["http://zotero.org/groups/2727724/items/B95T6Y4V"],"itemData":{"id":13134,"type":"article-journal","abstract":"What is the basis of status in world order? Status is assumed to come from strength, even if strength is reconfigured to be social and normative, not just material. Status, however, can also come from perceived weakness – it is conferred to those recognised as ‘victims’. We make four theoretical contributions to the scholarship on status in world affairs. First, we examine how the category of victim is produced. Two, we expand the possible sources of status in world affairs by adding the category of victim. Three, focus on victimhood status further demonstrates that status is independent of material power. Lastly, victimhood as status exhibits the paradox that power depends on perceived powerlessness. We illustrate these arguments with three features of victim status in modern international politics: the changing desirability of victim status in Israel, the gendered construction of ideal victim in the Congo, and the hierarchy of victimhood in Bosnia.","container-title":"Review of International Studies","DOI":"10.1017/S0260210522000596","ISSN":"0260-2105, 1469-9044","language":"en","note":"publisher: Cambridge University Press","page":"1-19","source":"Cambridge University Press","title":"Constructing victims: Suffering and status in modern world order","title-short":"Constructing victims","author":[{"family":"Vandermaas-Peeler","given":"Alex"},{"family":"Subotic","given":"Jelena"},{"family":"Barnett","given":"Michael"}],"issued":{"date-parts":[["2022",12,22]]}}}],"schema":"https://github.com/citation-style-language/schema/raw/master/csl-citation.json"}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Alex Vandermaas-Peeler, Jelena Subotic, and Michael Barnett, “Constructing Victims: Suffering and Status in Modern World Order,” </w:t>
      </w:r>
      <w:r w:rsidRPr="00E44DE1">
        <w:rPr>
          <w:rFonts w:ascii="Times New Roman" w:hAnsi="Times New Roman" w:cs="Times New Roman"/>
          <w:i/>
          <w:iCs/>
          <w:color w:val="000000" w:themeColor="text1"/>
          <w:sz w:val="22"/>
          <w:szCs w:val="22"/>
        </w:rPr>
        <w:t>Review of International Studies</w:t>
      </w:r>
      <w:r w:rsidR="00C91192"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t>December 2022</w:t>
      </w:r>
      <w:r w:rsidR="000C572E"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1–19</w:t>
      </w:r>
      <w:r w:rsidR="00B3388C"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fldChar w:fldCharType="end"/>
      </w:r>
      <w:r w:rsidR="00DE56B4"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See also Duggan, Colleen, Claudia Paz y Paz Bailey, and Julie Guillerot, “Reparations for Sexual and Reproductive Violence: Prospects for Achieving Gender Justice in Guatemala and Peru,” </w:t>
      </w:r>
      <w:r w:rsidRPr="00E44DE1">
        <w:rPr>
          <w:rFonts w:ascii="Times New Roman" w:hAnsi="Times New Roman" w:cs="Times New Roman"/>
          <w:i/>
          <w:iCs/>
          <w:color w:val="000000" w:themeColor="text1"/>
          <w:sz w:val="22"/>
          <w:szCs w:val="22"/>
        </w:rPr>
        <w:t>International Journal of Transitional Justice</w:t>
      </w:r>
      <w:r w:rsidRPr="00E44DE1">
        <w:rPr>
          <w:rFonts w:ascii="Times New Roman" w:hAnsi="Times New Roman" w:cs="Times New Roman"/>
          <w:color w:val="000000" w:themeColor="text1"/>
          <w:sz w:val="22"/>
          <w:szCs w:val="22"/>
        </w:rPr>
        <w:t xml:space="preserve"> 2, no. 2 (July 1, 2008): 192–213.</w:t>
      </w:r>
    </w:p>
  </w:footnote>
  <w:footnote w:id="11">
    <w:p w14:paraId="3FF53058" w14:textId="4E70D150" w:rsidR="002C72BF" w:rsidRPr="00E44DE1" w:rsidRDefault="002C72BF" w:rsidP="002C72BF">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See, for example,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{"citationID":"oKQV18oc","properties":{"formattedCitation":"Katie Zoglin, \\uc0\\u8220{}What Happened to the Women? Gender and Reparations for Human Rights Violations , Ed. Ruth Rubio-Mar\\uc0\\u237{}n,\\uc0\\u8221{} {\\i{}International Journal of Transitional Justice} 1, no. 3 (December 1, 2007): 454\\uc0\\u8211{}55, https://doi.org/10.1093/ijtj/ijm028.","plainCitation":"Katie Zoglin, “What Happened to the Women? Gender and Reparations for Human Rights Violations , Ed. Ruth Rubio-Marín,” International Journal of Transitional Justice 1, no. 3 (December 1, 2007): 454–55, https://doi.org/10.1093/ijtj/ijm028.","dontUpdate":true,"noteIndex":10},"citationItems":[{"id":9956,"uris":["http://zotero.org/groups/2727724/items/JHNUSMLV"],"itemData":{"id":9956,"type":"article-journal","abstract":"What Happened to the Women? Gender and Reparations for Human Rights Violations , edited by Ruth Rubio-Marin, represents a significant contribution to the literature on transitional justice. Most writings regarding the aftermath of widespread human rights violations focus on prosecutions and truth-telling. Relatively few works discuss reparations. Fewer still explore what reparations, if any, are specific to female victims of human rights violations. The book features case studies from six countries that have experienced major conflicts and have endeavored to enact reparations programs: South Africa, Guatemala, Peru, Rwanda, Sierra Leone and Timor-Leste. Each of the pieces highlights how women have participated in formulating reparation policies and the extent to which their needs have been addressed.","container-title":"International Journal of Transitional Justice","DOI":"10.1093/ijtj/ijm028","ISSN":"1752-7716","issue":"3","journalAbbreviation":"International Journal of Transitional Justice","page":"454-455","source":"Silverchair","title":"What Happened to the Women? Gender and Reparations for Human Rights Violations , ed. Ruth Rubio-Marín","title-short":"What Happened to the Women?","volume":"1","author":[{"family":"Zoglin","given":"Katie"}],"issued":{"date-parts":[["2007",12,1]]}}}],"schema":"https://github.com/citation-style-language/schema/raw/master/csl-citation.json"}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Katie Zoglin, “What Happened to the Women? Gender and Reparations for Human Rights Violations, </w:t>
      </w:r>
      <w:r w:rsidR="0041568B" w:rsidRPr="00E44DE1">
        <w:rPr>
          <w:rFonts w:ascii="Times New Roman" w:hAnsi="Times New Roman" w:cs="Times New Roman"/>
          <w:color w:val="000000" w:themeColor="text1"/>
          <w:sz w:val="22"/>
          <w:szCs w:val="22"/>
        </w:rPr>
        <w:t>e</w:t>
      </w:r>
      <w:r w:rsidRPr="00E44DE1">
        <w:rPr>
          <w:rFonts w:ascii="Times New Roman" w:hAnsi="Times New Roman" w:cs="Times New Roman"/>
          <w:color w:val="000000" w:themeColor="text1"/>
          <w:sz w:val="22"/>
          <w:szCs w:val="22"/>
        </w:rPr>
        <w:t xml:space="preserve">d. Ruth Rubio-Marín,” </w:t>
      </w:r>
      <w:r w:rsidRPr="00E44DE1">
        <w:rPr>
          <w:rFonts w:ascii="Times New Roman" w:hAnsi="Times New Roman" w:cs="Times New Roman"/>
          <w:i/>
          <w:iCs/>
          <w:color w:val="000000" w:themeColor="text1"/>
          <w:sz w:val="22"/>
          <w:szCs w:val="22"/>
        </w:rPr>
        <w:t>International Journal of Transitional Justice</w:t>
      </w:r>
      <w:r w:rsidRPr="00E44DE1">
        <w:rPr>
          <w:rFonts w:ascii="Times New Roman" w:hAnsi="Times New Roman" w:cs="Times New Roman"/>
          <w:color w:val="000000" w:themeColor="text1"/>
          <w:sz w:val="22"/>
          <w:szCs w:val="22"/>
        </w:rPr>
        <w:t xml:space="preserve"> 1, no. 3 (December 2007): 454–</w:t>
      </w:r>
      <w:r w:rsidR="00AA75CB" w:rsidRPr="00E44DE1">
        <w:rPr>
          <w:rFonts w:ascii="Times New Roman" w:hAnsi="Times New Roman" w:cs="Times New Roman"/>
          <w:color w:val="000000" w:themeColor="text1"/>
          <w:sz w:val="22"/>
          <w:szCs w:val="22"/>
        </w:rPr>
        <w:t>4</w:t>
      </w:r>
      <w:r w:rsidRPr="00E44DE1">
        <w:rPr>
          <w:rFonts w:ascii="Times New Roman" w:hAnsi="Times New Roman" w:cs="Times New Roman"/>
          <w:color w:val="000000" w:themeColor="text1"/>
          <w:sz w:val="22"/>
          <w:szCs w:val="22"/>
        </w:rPr>
        <w:t>55.</w:t>
      </w:r>
      <w:r w:rsidRPr="00E44DE1">
        <w:rPr>
          <w:rFonts w:ascii="Times New Roman" w:hAnsi="Times New Roman" w:cs="Times New Roman"/>
          <w:color w:val="000000" w:themeColor="text1"/>
          <w:sz w:val="22"/>
          <w:szCs w:val="22"/>
        </w:rPr>
        <w:fldChar w:fldCharType="end"/>
      </w:r>
    </w:p>
  </w:footnote>
  <w:footnote w:id="12">
    <w:p w14:paraId="3C4C7FBA" w14:textId="768B5296" w:rsidR="002C72BF" w:rsidRPr="00E44DE1" w:rsidRDefault="002C72BF" w:rsidP="002C72BF">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{"citationID":"ZWZkaPqi","properties":{"formattedCitation":"Anette Bringedal Houge and Kjersti Lohne, \\uc0\\u8220{}End Impunity! Reducing Conflict-Related Sexual Violence to a Problem of Law,\\uc0\\u8221{} {\\i{}Law &amp; Society Review} 51, no. 4 (2017): 755\\uc0\\u8211{}89, https://doi.org/10.1111/lasr.12294.","plainCitation":"Anette Bringedal Houge and Kjersti Lohne, “End Impunity! Reducing Conflict-Related Sexual Violence to a Problem of Law,” Law &amp; Society Review 51, no. 4 (2017): 755–89, https://doi.org/10.1111/lasr.12294.","dontUpdate":true,"noteIndex":11},"citationItems":[{"id":15972,"uris":["http://zotero.org/groups/2727724/items/DSWUSFXI"],"itemData":{"id":15972,"type":"article-journal","abstract":"Whilst sexual violence has been an offence associated both with war- and peacetime throughout history, its rise to the tables where international peace and security are negotiated, represents a significant shift. This article continues the scholarly conversation about conflict-related sexual violence and its emergence as a “hot topic” on academic, political, and activist agendas. Specifically, we ask how and why criminal law constitutes the ultimately meaningful response to such violence. Building on frame analysis, we address how the fight against conflict-related sexual violence has become the fight against impunity. We examine what imageries of victims and perpetrators, causes and consequences key actors within interstate diplomacy and human rights advocacy evoke to drive this development. We argue that these narratives shape the political discourse on conflict-related sexual violence, which may in turn influence the perceived political maneuverability in the face of such harms.","container-title":"Law &amp; Society Review","DOI":"10.1111/lasr.12294","ISSN":"1540-5893","issue":"4","language":"en","page":"755-789","source":"Wiley Online Library","title":"End Impunity! Reducing Conflict-Related Sexual Violence to a Problem of Law","volume":"51","author":[{"family":"Houge","given":"Anette Bringedal"},{"family":"Lohne","given":"Kjersti"}],"issued":{"date-parts":[["2017"]]}}}],"schema":"https://github.com/citation-style-language/schema/raw/master/csl-citation.json"}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Anette Bringedal Houge and Kjersti Lohne, “End Impunity! Reducing Conflict-Related Sexual Violence to a Problem of Law,” </w:t>
      </w:r>
      <w:r w:rsidRPr="00E44DE1">
        <w:rPr>
          <w:rFonts w:ascii="Times New Roman" w:hAnsi="Times New Roman" w:cs="Times New Roman"/>
          <w:i/>
          <w:iCs/>
          <w:color w:val="000000" w:themeColor="text1"/>
          <w:sz w:val="22"/>
          <w:szCs w:val="22"/>
        </w:rPr>
        <w:t>Law &amp; Society Review</w:t>
      </w:r>
      <w:r w:rsidRPr="00E44DE1">
        <w:rPr>
          <w:rFonts w:ascii="Times New Roman" w:hAnsi="Times New Roman" w:cs="Times New Roman"/>
          <w:color w:val="000000" w:themeColor="text1"/>
          <w:sz w:val="22"/>
          <w:szCs w:val="22"/>
        </w:rPr>
        <w:t xml:space="preserve"> 51, no. 4 (2017): 755–89.</w:t>
      </w:r>
      <w:r w:rsidRPr="00E44DE1">
        <w:rPr>
          <w:rFonts w:ascii="Times New Roman" w:hAnsi="Times New Roman" w:cs="Times New Roman"/>
          <w:color w:val="000000" w:themeColor="text1"/>
          <w:sz w:val="22"/>
          <w:szCs w:val="22"/>
        </w:rPr>
        <w:fldChar w:fldCharType="end"/>
      </w:r>
      <w:r w:rsidRPr="00E44DE1">
        <w:rPr>
          <w:rFonts w:ascii="Times New Roman" w:hAnsi="Times New Roman" w:cs="Times New Roman"/>
          <w:color w:val="000000" w:themeColor="text1"/>
          <w:sz w:val="22"/>
          <w:szCs w:val="22"/>
        </w:rPr>
        <w:t xml:space="preserve"> See also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{"citationID":"jhUoj6HY","properties":{"formattedCitation":"O\\uc0\\u8217{}Rourke, \\uc0\\u8220{}Transitional Justice and Gender.\\uc0\\u8221{}","plainCitation":"O’Rourke, “Transitional Justice and Gender.”","noteIndex":11},"citationItems":[{"id":9950,"uris":["http://zotero.org/groups/2727724/items/Z2S68FH8"],"itemData":{"id":9950,"type":"chapter","abstract":"The chapter provides an introduction and overview of key themes and dilemmas in gender scholarship and practice in transitional justice. The chapter begins by addressing preliminary definitional issues concerning ‘gender’, while also outlining the international normative and policy framework that guides the treatment of gender in transitional justice practice. The chapter identifies and outlines the following key themes of gender work in the field: the definition of ‘harm’ in transitional justice; addressing structural gender inequalities through transitional justice; the participation of women in processes and mechanisms; the place of men and masculinities; and practice to date in addressing violations experienced by sexual minorities. The chapter considers some of the enduring dilemmas in gender work in transitional justice, in particular the ongoing challenge of operationalising gender in practice, whether such efforts should be principally technical or transformative, and the gender implications of the mooted relationship of transitional justice to empire. The chapter concludes by emphasizing the importance of translating scholarly and policy developments into gender-equitable outcomes in transitional justice.Gender; harm; inequalities; masculinities; sexual minorities; empire","container-title":"Research Handbook on Transitional Justice","ISBN":"978-1-78195-531-4","language":"en_US","note":"section: Research Handbook on Transitional Justice","page":"117-141","publisher":"Edward Elgar Publishing","source":"www-elgaronline-com.ezp-prod1.hul.harvard.edu","title":"Transitional justice and gender","URL":"https://www.elgaronline.com/display/edcoll/9781781955307/9781781955307.00013.xml","author":[{"family":"O’Rourke","given":"Catherine"}],"accessed":{"date-parts":[["2023",3,3]]},"issued":{"date-parts":[["2017",6,30]]}}}],"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O’Rourke, “Transitional Justice and Gender.”</w:t>
      </w:r>
      <w:r w:rsidRPr="00E44DE1">
        <w:rPr>
          <w:rFonts w:ascii="Times New Roman" w:hAnsi="Times New Roman" w:cs="Times New Roman"/>
          <w:color w:val="000000" w:themeColor="text1"/>
          <w:sz w:val="22"/>
          <w:szCs w:val="22"/>
        </w:rPr>
        <w:fldChar w:fldCharType="end"/>
      </w:r>
      <w:r w:rsidRPr="00E44DE1">
        <w:rPr>
          <w:rFonts w:ascii="Times New Roman" w:hAnsi="Times New Roman" w:cs="Times New Roman"/>
          <w:color w:val="000000" w:themeColor="text1"/>
          <w:sz w:val="22"/>
          <w:szCs w:val="22"/>
        </w:rPr>
        <w:t xml:space="preserve"> See also Margaret Urban Walker</w:t>
      </w:r>
      <w:r w:rsidR="007561CD"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“Transformative Reparations? A Critical Look at a Current Trend in Thinking about Gender-Just Reparations</w:t>
      </w:r>
      <w:r w:rsidR="007561CD"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i/>
          <w:iCs/>
          <w:color w:val="000000" w:themeColor="text1"/>
          <w:sz w:val="22"/>
          <w:szCs w:val="22"/>
        </w:rPr>
        <w:t>International Journal of Transitional Justice</w:t>
      </w:r>
      <w:r w:rsidRPr="00E44DE1">
        <w:rPr>
          <w:rFonts w:ascii="Times New Roman" w:hAnsi="Times New Roman" w:cs="Times New Roman"/>
          <w:color w:val="000000" w:themeColor="text1"/>
          <w:sz w:val="22"/>
          <w:szCs w:val="22"/>
        </w:rPr>
        <w:t xml:space="preserve"> 10, no. 1 (March 2016): 108–</w:t>
      </w:r>
      <w:r w:rsidR="00AA75CB" w:rsidRPr="00E44DE1">
        <w:rPr>
          <w:rFonts w:ascii="Times New Roman" w:hAnsi="Times New Roman" w:cs="Times New Roman"/>
          <w:color w:val="000000" w:themeColor="text1"/>
          <w:sz w:val="22"/>
          <w:szCs w:val="22"/>
        </w:rPr>
        <w:t>1</w:t>
      </w:r>
      <w:r w:rsidRPr="00E44DE1">
        <w:rPr>
          <w:rFonts w:ascii="Times New Roman" w:hAnsi="Times New Roman" w:cs="Times New Roman"/>
          <w:color w:val="000000" w:themeColor="text1"/>
          <w:sz w:val="22"/>
          <w:szCs w:val="22"/>
        </w:rPr>
        <w:t>25.</w:t>
      </w:r>
    </w:p>
  </w:footnote>
  <w:footnote w:id="13">
    <w:p w14:paraId="5DCCE1A7" w14:textId="125222F7" w:rsidR="002C72BF" w:rsidRPr="00E44DE1" w:rsidRDefault="002C72BF" w:rsidP="002C72BF">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{"citationID":"DdWJNZv1","properties":{"formattedCitation":"Louise Chappell, \\uc0\\u8220{}The Politics of Gender Justice at the International Criminal Court,\\uc0\\u8221{} in {\\i{}The Politics of Gender Justice at the International Criminal Court: Legacies and Legitimacy}, ed. Louise Chappell (Oxford University Press, 2016), 0, https://doi.org/10.1093/acprof:oso/9780199927890.003.0001.","plainCitation":"Louise Chappell, “The Politics of Gender Justice at the International Criminal Court,” in The Politics of Gender Justice at the International Criminal Court: Legacies and Legitimacy, ed. Louise Chappell (Oxford University Press, 2016), 0, https://doi.org/10.1093/acprof:oso/9780199927890.003.0001.","dontUpdate":true,"noteIndex":12},"citationItems":[{"id":9959,"uris":["http://zotero.org/groups/2727724/items/AT8MV6G5"],"itemData":{"id":9959,"type":"chapter","abstract":"This chapter outlines the theoretical framework used in The Politics of Gender Justice at the International Criminal Court. It defines the meaning of gender justice used in this analysis, drawing on Nancy Fraser’s trivalent model that includes gender representation, recognition, and redistribution. It outlines the contours of the historical and feminist institutionalist approach that is developed throughout the following chapters and defines key terms, including formal and informal rules, gender legacies, and “nestedness.” It discusses the concept of legitimacy and situates it in the context of the ICC. The chapter also details the research methods used in the book and provides an outline of its structure.","container-title":"The Politics of Gender Justice at the International Criminal Court: Legacies and Legitimacy","ISBN":"978-0-19-992789-0","note":"DOI: 10.1093/acprof:oso/9780199927890.003.0001","page":"0","publisher":"Oxford University Press","source":"Silverchair","title":"The Politics of Gender Justice at the International Criminal Court","URL":"https://doi.org/10.1093/acprof:oso/9780199927890.003.0001","author":[{"family":"Chappell","given":"Louise"}],"editor":[{"family":"Chappell","given":"Louise"}],"accessed":{"date-parts":[["2023",1,12]]},"issued":{"date-parts":[["2016",1,1]]}}}],"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Louise Chappell, “The Politics of Gender Justice at the International Criminal Court,” in </w:t>
      </w:r>
      <w:r w:rsidRPr="00E44DE1">
        <w:rPr>
          <w:rFonts w:ascii="Times New Roman" w:hAnsi="Times New Roman" w:cs="Times New Roman"/>
          <w:i/>
          <w:iCs/>
          <w:color w:val="000000" w:themeColor="text1"/>
          <w:sz w:val="22"/>
          <w:szCs w:val="22"/>
        </w:rPr>
        <w:t>The Politics of Gender Justice at the International Criminal Court: Legacies and Legitimacy</w:t>
      </w:r>
      <w:r w:rsidRPr="00E44DE1">
        <w:rPr>
          <w:rFonts w:ascii="Times New Roman" w:hAnsi="Times New Roman" w:cs="Times New Roman"/>
          <w:color w:val="000000" w:themeColor="text1"/>
          <w:sz w:val="22"/>
          <w:szCs w:val="22"/>
        </w:rPr>
        <w:t>, ed. Louise Chappell (Oxford University Press, 2016)</w:t>
      </w:r>
      <w:r w:rsidRPr="00E44DE1">
        <w:rPr>
          <w:rFonts w:ascii="Times New Roman" w:hAnsi="Times New Roman" w:cs="Times New Roman"/>
          <w:color w:val="000000" w:themeColor="text1"/>
          <w:sz w:val="22"/>
          <w:szCs w:val="22"/>
        </w:rPr>
        <w:fldChar w:fldCharType="end"/>
      </w:r>
      <w:r w:rsidR="00863EA5"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{"citationID":"4VPhFXGo","properties":{"formattedCitation":"Kate Cronin-Furman, \\uc0\\u8220{}Managing Expectations: International Criminal Trials and the Prospects for Deterrence of Mass Atrocity,\\uc0\\u8221{} {\\i{}International Journal of Transitional Justice} 7, no. 3 (November 1, 2013): 434\\uc0\\u8211{}54, https://doi.org/10.1093/ijtj/ijt016.","plainCitation":"Kate Cronin-Furman, “Managing Expectations: International Criminal Trials and the Prospects for Deterrence of Mass Atrocity,” International Journal of Transitional Justice 7, no. 3 (November 1, 2013): 434–54, https://doi.org/10.1093/ijtj/ijt016.","dontUpdate":true,"noteIndex":12},"citationItems":[{"id":14943,"uris":["http://zotero.org/groups/2727724/items/XVDAQAE6"],"itemData":{"id":14943,"type":"article-journal","abstract":"Despite high hopes that the proliferation of international justice mechanisms represents progress toward the maintenance of international peace and security, claims about the ability of prosecutions to prevent future atrocities remain largely unexamined. These claims rely on undertheorized assumptions about both the operation of deterrence and the commission of mass atrocity. This article surveys the theory of criminal deterrence in order to assemble a more clearly specified set of expectations about how deterrence might be expected to operate in the international arena. It invokes social science findings that mass atrocity commission is motivated by different logics across cases to suggest that these differences are relevant to the potential extent of a deterrent effect. It considers the current prosecutorial policy of the International Criminal Court and suggests that, given the comparative lack of certainty and severity of sanction represented by the Court’s prosecutions, as well as the selection of perpetrators with powerful incentives to offend, current prosecutorial policy is not well-targeted at producing a deterrent effect.","container-title":"International Journal of Transitional Justice","DOI":"10.1093/ijtj/ijt016","ISSN":"1752-7716","issue":"3","journalAbbreviation":"International Journal of Transitional Justice","page":"434-454","source":"Silverchair","title":"Managing Expectations: International Criminal Trials and the Prospects for Deterrence of Mass Atrocity","title-short":"Managing Expectations","volume":"7","author":[{"family":"Cronin-Furman","given":"Kate"}],"issued":{"date-parts":[["2013",11,1]]}}}],"schema":"https://github.com/citation-style-language/schema/raw/master/csl-citation.json"}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Kate Cronin-Furman, “Managing Expectations: International Criminal Trials and the Prospects for Deterrence of Mass Atrocity,” </w:t>
      </w:r>
      <w:r w:rsidRPr="00E44DE1">
        <w:rPr>
          <w:rFonts w:ascii="Times New Roman" w:hAnsi="Times New Roman" w:cs="Times New Roman"/>
          <w:i/>
          <w:iCs/>
          <w:color w:val="000000" w:themeColor="text1"/>
          <w:sz w:val="22"/>
          <w:szCs w:val="22"/>
        </w:rPr>
        <w:t>International Journal of Transitional Justice</w:t>
      </w:r>
      <w:r w:rsidRPr="00E44DE1">
        <w:rPr>
          <w:rFonts w:ascii="Times New Roman" w:hAnsi="Times New Roman" w:cs="Times New Roman"/>
          <w:color w:val="000000" w:themeColor="text1"/>
          <w:sz w:val="22"/>
          <w:szCs w:val="22"/>
        </w:rPr>
        <w:t xml:space="preserve"> 7, no. 3 (November 2013): 434–</w:t>
      </w:r>
      <w:r w:rsidR="0085359B" w:rsidRPr="00E44DE1">
        <w:rPr>
          <w:rFonts w:ascii="Times New Roman" w:hAnsi="Times New Roman" w:cs="Times New Roman"/>
          <w:color w:val="000000" w:themeColor="text1"/>
          <w:sz w:val="22"/>
          <w:szCs w:val="22"/>
        </w:rPr>
        <w:t>4</w:t>
      </w:r>
      <w:r w:rsidRPr="00E44DE1">
        <w:rPr>
          <w:rFonts w:ascii="Times New Roman" w:hAnsi="Times New Roman" w:cs="Times New Roman"/>
          <w:color w:val="000000" w:themeColor="text1"/>
          <w:sz w:val="22"/>
          <w:szCs w:val="22"/>
        </w:rPr>
        <w:t>54</w:t>
      </w:r>
      <w:r w:rsidRPr="00E44DE1">
        <w:rPr>
          <w:rFonts w:ascii="Times New Roman" w:hAnsi="Times New Roman" w:cs="Times New Roman"/>
          <w:color w:val="000000" w:themeColor="text1"/>
          <w:sz w:val="22"/>
          <w:szCs w:val="22"/>
        </w:rPr>
        <w:fldChar w:fldCharType="end"/>
      </w:r>
      <w:r w:rsidR="00863EA5"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{"citationID":"R7ljszHl","properties":{"formattedCitation":"M. P. Broache and Juhi Kore, \\uc0\\u8220{}Can the International Criminal Court Prevent Sexual Violence in Armed Conflict?,\\uc0\\u8221{} {\\i{}Journal of Human Rights} 22, no. 1 (January 1, 2023): 78\\uc0\\u8211{}93, https://doi.org/10.1080/14754835.2022.2150517.","plainCitation":"M. P. Broache and Juhi Kore, “Can the International Criminal Court Prevent Sexual Violence in Armed Conflict?,” Journal of Human Rights 22, no. 1 (January 1, 2023): 78–93, https://doi.org/10.1080/14754835.2022.2150517.","dontUpdate":true,"noteIndex":12},"citationItems":[{"id":13133,"uris":["http://zotero.org/groups/2727724/items/P6YJEWCK"],"itemData":{"id":13133,"type":"article-journal","abstract":"Human rights activists, international organizations, and certain governments have championed prosecutions as a strategy to prevent conflict-related sexual violence, and the International Criminal Court (ICC) has focused extensively on prosecuting sexual violence crimes during its first two decades of operations. However, even as a growing body of empirical evidence suggests that the ICC contributes to improved human rights practices and the prevention of other atrocity crimes, such as violence against civilians, claims concerning the preventive effects of prosecutions on sexual violence remain largely untested. The purpose of this article is to test these claims. To this end, we analyzed the effects of ICC jurisdiction, interventions, and cross-case actions on sexual violence by government forces in intrastate conflicts from 1989 to 2018, using the Sexual Violence in Armed Conflict (SVAC) dataset. Contrary to the optimistic claims of proponents of prosecutions, we found that ICC jurisdiction and cross-case actions have negligible effects for this category of actors. We also found that ICC interventions are associated with increased sexual violence by government forces in intrastate conflicts. These findings suggest that prevention might require alternative—and, in some cases, potentially costlier—interventions.","container-title":"Journal of Human Rights","DOI":"10.1080/14754835.2022.2150517","ISSN":"1475-4835","issue":"1","note":"publisher: Routledge\n_eprint: https://doi.org/10.1080/14754835.2022.2150517","page":"78-93","source":"Taylor and Francis+NEJM","title":"Can the International Criminal Court prevent sexual violence in armed conflict?","volume":"22","author":[{"family":"Broache","given":"M. P."},{"family":"Kore","given":"Juhi"}],"issued":{"date-parts":[["2023",1,1]]}}}],"schema":"https://github.com/citation-style-language/schema/raw/master/csl-citation.json"}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M. P. Broache and Juhi Kore, “Can the International Criminal Court Prevent Sexual Violence in Armed Conflict?,” </w:t>
      </w:r>
      <w:r w:rsidRPr="00E44DE1">
        <w:rPr>
          <w:rFonts w:ascii="Times New Roman" w:hAnsi="Times New Roman" w:cs="Times New Roman"/>
          <w:i/>
          <w:iCs/>
          <w:color w:val="000000" w:themeColor="text1"/>
          <w:sz w:val="22"/>
          <w:szCs w:val="22"/>
        </w:rPr>
        <w:t>Journal of Human Rights</w:t>
      </w:r>
      <w:r w:rsidRPr="00E44DE1">
        <w:rPr>
          <w:rFonts w:ascii="Times New Roman" w:hAnsi="Times New Roman" w:cs="Times New Roman"/>
          <w:color w:val="000000" w:themeColor="text1"/>
          <w:sz w:val="22"/>
          <w:szCs w:val="22"/>
        </w:rPr>
        <w:t xml:space="preserve"> 22, no. 1 (January 2023): 78–93</w:t>
      </w:r>
      <w:r w:rsidRPr="00E44DE1">
        <w:rPr>
          <w:rFonts w:ascii="Times New Roman" w:hAnsi="Times New Roman" w:cs="Times New Roman"/>
          <w:color w:val="000000" w:themeColor="text1"/>
          <w:sz w:val="22"/>
          <w:szCs w:val="22"/>
        </w:rPr>
        <w:fldChar w:fldCharType="end"/>
      </w:r>
      <w:r w:rsidR="00EC3A8A"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{"citationID":"cDEy8Cgt","properties":{"formattedCitation":"Liana Georgieva Minkova, \\uc0\\u8220{}(In)Compatible Visions of Justice? Personal Culpability and Gender Justice at the ICC,\\uc0\\u8221{} {\\i{}Politics &amp; Gender} 18, no. 1 (March 2022): 62\\uc0\\u8211{}94, https://doi.org/10.1017/S1743923X20000215.","plainCitation":"Liana Georgieva Minkova, “(In)Compatible Visions of Justice? Personal Culpability and Gender Justice at the ICC,” Politics &amp; Gender 18, no. 1 (March 2022): 62–94, https://doi.org/10.1017/S1743923X20000215.","dontUpdate":true,"noteIndex":12},"citationItems":[{"id":11068,"uris":["http://zotero.org/groups/2727724/items/TI25ZPLQ"],"itemData":{"id":11068,"type":"article-journal","abstract":"Although the International Criminal Court (ICC) has been heralded as a success story for gender justice, in practice prosecutions of sexual and gender-based crimes (SGBC) have often ended with acquittal at the court. Gender studies in international relations explain the lack of successful SGBC prosecutions by looking to the influence of older gender biases in international law, which preclude the successful implementation of the novel Rome Statute provisions criminalizing SGBC. This article suggests that “forgetting” the gender justice norm insufficiently explains the outcome of the ICC's SGBC prosecutions. The article argues that ICC judges “remembered” another norm of criminal justice, long forgotten in international trials – strict compliance with the personal culpability principle – which has resulted in tension between different visions of justice in the court's practice: delivering substantive justice for SGBC victims v. safeguarding the defendant's rights by upholding criminal law principles.","container-title":"Politics &amp; Gender","DOI":"10.1017/S1743923X20000215","ISSN":"1743-923X, 1743-9248","issue":"1","language":"en","note":"publisher: Cambridge University Press","page":"62-94","source":"Cambridge University Press","title":"(In)Compatible Visions of Justice? Personal Culpability and Gender Justice at the ICC","title-short":"(In)Compatible Visions of Justice?","volume":"18","author":[{"family":"Minkova","given":"Liana Georgieva"}],"issued":{"date-parts":[["2022",3]]}}}],"schema":"https://github.com/citation-style-language/schema/raw/master/csl-citation.json"}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Liana Georgieva Minkova, “(In)Compatible Visions of Justice? Personal Culpability and Gender Justice at the ICC,” </w:t>
      </w:r>
      <w:r w:rsidRPr="00E44DE1">
        <w:rPr>
          <w:rFonts w:ascii="Times New Roman" w:hAnsi="Times New Roman" w:cs="Times New Roman"/>
          <w:i/>
          <w:iCs/>
          <w:color w:val="000000" w:themeColor="text1"/>
          <w:sz w:val="22"/>
          <w:szCs w:val="22"/>
        </w:rPr>
        <w:t>Politics &amp; Gender</w:t>
      </w:r>
      <w:r w:rsidRPr="00E44DE1">
        <w:rPr>
          <w:rFonts w:ascii="Times New Roman" w:hAnsi="Times New Roman" w:cs="Times New Roman"/>
          <w:color w:val="000000" w:themeColor="text1"/>
          <w:sz w:val="22"/>
          <w:szCs w:val="22"/>
        </w:rPr>
        <w:t xml:space="preserve"> 18, no. 1 (March 2022): 62–94.</w:t>
      </w:r>
      <w:r w:rsidRPr="00E44DE1">
        <w:rPr>
          <w:rFonts w:ascii="Times New Roman" w:hAnsi="Times New Roman" w:cs="Times New Roman"/>
          <w:color w:val="000000" w:themeColor="text1"/>
          <w:sz w:val="22"/>
          <w:szCs w:val="22"/>
        </w:rPr>
        <w:fldChar w:fldCharType="end"/>
      </w:r>
    </w:p>
  </w:footnote>
  <w:footnote w:id="14">
    <w:p w14:paraId="1B7D8BEF" w14:textId="05B07557" w:rsidR="00E53347" w:rsidRPr="00E44DE1" w:rsidRDefault="00E53347" w:rsidP="00E53347">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00E97EB3" w:rsidRPr="00E44DE1">
        <w:rPr>
          <w:rFonts w:ascii="Times New Roman" w:hAnsi="Times New Roman" w:cs="Times New Roman"/>
          <w:color w:val="000000" w:themeColor="text1"/>
          <w:sz w:val="22"/>
          <w:szCs w:val="22"/>
        </w:rPr>
        <w:t xml:space="preserve">On crowding out, see </w:t>
      </w:r>
      <w:r w:rsidR="00E97EB3"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{"citationID":"IZNByq3m","properties":{"formattedCitation":"Ryan Goodman and Derek Jinks, \\uc0\\u8220{}Social Mechanisms to Promote International Human Rights: Complementary or Contradictory?,\\uc0\\u8221{} in {\\i{}The Persistent Power of Human Rights} (Cambridge University Press, 2013), 103\\uc0\\u8211{}22, https://doi.org/10.1017/CBO9781139237161.009.","plainCitation":"Ryan Goodman and Derek Jinks, “Social Mechanisms to Promote International Human Rights: Complementary or Contradictory?,” in The Persistent Power of Human Rights (Cambridge University Press, 2013), 103–22, https://doi.org/10.1017/CBO9781139237161.009.","dontUpdate":true,"noteIndex":13},"citationItems":[{"id":27520,"uris":["http://zotero.org/groups/5222594/items/9A4UHJ2U"],"itemData":{"id":27520,"type":"chapter","abstract":"The study of the international human rights regime has increasingly emphasized how this regime matters rather than if it matters. An especially productive turn focuses on integrated conceptual models, which accept the importance of multiple forms of influence on state behavior. The Power of Human Rights (PoHR) provided a foundation for such studies by bringing attention to the significance of different logics of interaction at different points in the socialization process of states (Risse et al. 1999). That leading work and allied scholarship recognize the complexity of actor motivation, human and organizational behavior, and the global-level social environment. What is needed now is a social theory that accounts for why human rights abuses occur and how the international community does or might influence rights abusers to alter their behavior. The objective is to explain how changes in the relevant social environment – namely the existence, and ultimately the formal acceptance, of international human rights – affect the behavior of individuals, governments and non-governmental organizations.The “spiral model” of human rights change developed in PoHR – and further elaborated in this volume – is an important step in developing such a theory. At a high level of generality, the model provides a conceptually and empirically compelling account of the relationship between national policies and formal international human rights regimes. On this model, various socialization processes work together to influence non-compliant states to accept and ultimately comply with human rights norms through a five-stage process: repression, denial, tactical concessions, prescriptive status, and rule-consistent behavior. The model emphasizes how instrumental adaptation, argumentation and habitualization impel states first to commit formally to human rights regimes and thereafter, under certain conditions, to internalize human rights norms. Four mechanisms of social influence are identified by the authors as crucial to modeling the domestic political consequences of the human rights regime: coercion; incentivization; persuasion/learning; and capacity-building.","container-title":"The Persistent Power of Human Rights","ISBN":"978-1-107-02893-7","language":"eng","note":"DOI: 10.1017/CBO9781139237161.009","page":"103–122","publisher":"Cambridge University Press","source":"hollis.harvard.edu","title":"Social mechanisms to promote international human rights: Complementary or contradictory?","title-short":"Social mechanisms to promote international human rights","author":[{"family":"Goodman","given":"Ryan"},{"family":"Jinks","given":"Derek"}],"issued":{"date-parts":[["2013"]]}}}],"schema":"https://github.com/citation-style-language/schema/raw/master/csl-citation.json"} </w:instrText>
      </w:r>
      <w:r w:rsidR="00E97EB3" w:rsidRPr="00E44DE1">
        <w:rPr>
          <w:rFonts w:ascii="Times New Roman" w:hAnsi="Times New Roman" w:cs="Times New Roman"/>
          <w:color w:val="000000" w:themeColor="text1"/>
          <w:sz w:val="22"/>
          <w:szCs w:val="22"/>
        </w:rPr>
        <w:fldChar w:fldCharType="separate"/>
      </w:r>
      <w:r w:rsidR="00043E5F" w:rsidRPr="00E44DE1">
        <w:rPr>
          <w:rFonts w:ascii="Times New Roman" w:hAnsi="Times New Roman" w:cs="Times New Roman"/>
          <w:color w:val="000000" w:themeColor="text1"/>
          <w:sz w:val="22"/>
          <w:szCs w:val="22"/>
        </w:rPr>
        <w:t xml:space="preserve">Ryan Goodman and Derek Jinks, “Social Mechanisms to Promote International Human Rights: Complementary or Contradictory?,” in </w:t>
      </w:r>
      <w:r w:rsidR="00043E5F" w:rsidRPr="00E44DE1">
        <w:rPr>
          <w:rFonts w:ascii="Times New Roman" w:hAnsi="Times New Roman" w:cs="Times New Roman"/>
          <w:i/>
          <w:iCs/>
          <w:color w:val="000000" w:themeColor="text1"/>
          <w:sz w:val="22"/>
          <w:szCs w:val="22"/>
        </w:rPr>
        <w:t>The Persistent Power of Human Rights</w:t>
      </w:r>
      <w:r w:rsidR="00043E5F" w:rsidRPr="00E44DE1">
        <w:rPr>
          <w:rFonts w:ascii="Times New Roman" w:hAnsi="Times New Roman" w:cs="Times New Roman"/>
          <w:color w:val="000000" w:themeColor="text1"/>
          <w:sz w:val="22"/>
          <w:szCs w:val="22"/>
        </w:rPr>
        <w:t xml:space="preserve"> (Cambridge University Press, 2013), 103</w:t>
      </w:r>
      <w:r w:rsidR="004161CF" w:rsidRPr="00E44DE1">
        <w:rPr>
          <w:rFonts w:ascii="Times New Roman" w:hAnsi="Times New Roman" w:cs="Times New Roman"/>
          <w:color w:val="000000" w:themeColor="text1"/>
          <w:sz w:val="22"/>
          <w:szCs w:val="22"/>
        </w:rPr>
        <w:t>-1</w:t>
      </w:r>
      <w:r w:rsidR="00043E5F" w:rsidRPr="00E44DE1">
        <w:rPr>
          <w:rFonts w:ascii="Times New Roman" w:hAnsi="Times New Roman" w:cs="Times New Roman"/>
          <w:color w:val="000000" w:themeColor="text1"/>
          <w:sz w:val="22"/>
          <w:szCs w:val="22"/>
        </w:rPr>
        <w:t>22.</w:t>
      </w:r>
      <w:r w:rsidR="00E97EB3" w:rsidRPr="00E44DE1">
        <w:rPr>
          <w:rFonts w:ascii="Times New Roman" w:hAnsi="Times New Roman" w:cs="Times New Roman"/>
          <w:color w:val="000000" w:themeColor="text1"/>
          <w:sz w:val="22"/>
          <w:szCs w:val="22"/>
        </w:rPr>
        <w:fldChar w:fldCharType="end"/>
      </w:r>
      <w:r w:rsidR="00043E5F"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t xml:space="preserve">On spillover, see </w:t>
      </w:r>
      <w:r w:rsidR="00681EFE"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{"citationID":"hjPYCT7j","properties":{"formattedCitation":"Irma Rybnikova, \\uc0\\u8220{}Spillover Effect of Workplace Democracy: A Conceptual Revision,\\uc0\\u8221{} {\\i{}Frontiers in Psychology} 13 (2022), https://www.frontiersin.org/articles/10.3389/fpsyg.2022.933263.","plainCitation":"Irma Rybnikova, “Spillover Effect of Workplace Democracy: A Conceptual Revision,” Frontiers in Psychology 13 (2022), https://www.frontiersin.org/articles/10.3389/fpsyg.2022.933263.","noteIndex":13},"citationItems":[{"id":15282,"uris":["http://zotero.org/groups/2727724/items/AH2NSGRR"],"itemData":{"id":15282,"type":"article-journal","abstract":"The so-called “spillover thesis” by Pateman is one of the prominent theoretical explanations for why workplace-based participation and democracy could induce stronger political participation. By this thesis, Pateman underscored the relevance of industrial workplaces as relevant places where citizens can be socialized regarding democratic attitudes while proposing the educative effect of workplace democracy and assuming a strong linkage between workplace-based and political participation as moderated by self-efficacy. The spillover thesis has received a controversial consideration as previous empirical studies have provided inconsistent evidence. Some empirical undertakings support the assumption by Pateman and indicate a positive relationship between workplace democracy and societal effects, like increased moral and community orientation or higher levels of political participation among employees from companies with higher degrees of workplace democracy. Other empirical studies yield results that do not confirm the thesis. Scholars have discussed method-based shortcomings of the previous empirical research while pointing to the inconsistency of definitions and operationalizations as the main shortcoming. In contrast to that, systematic conceptual consideration of the spillover thesis and the accompanying scholarship are still lacking. The present article addresses this shortcoming and provides a critical reflection on the spillover thesis and corresponding research. It aims at identifying the main conceptual shortcomings and providing avenues for future theoretical undertakings in analyzing whether and how participation at the workplace is related to participation in political domains.","container-title":"Frontiers in Psychology","ISSN":"1664-1078","source":"Frontiers","title":"Spillover effect of workplace democracy: A conceptual revision","title-short":"Spillover effect of workplace democracy","URL":"https://www.frontiersin.org/articles/10.3389/fpsyg.2022.933263","volume":"13","author":[{"family":"Rybnikova","given":"Irma"}],"accessed":{"date-parts":[["2023",6,29]]},"issued":{"date-parts":[["2022"]]}}}],"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Irma Rybnikova, “Spillover Effect of Workplace Democracy: A Conceptual Revision,” </w:t>
      </w:r>
      <w:r w:rsidRPr="00E44DE1">
        <w:rPr>
          <w:rFonts w:ascii="Times New Roman" w:hAnsi="Times New Roman" w:cs="Times New Roman"/>
          <w:i/>
          <w:iCs/>
          <w:color w:val="000000" w:themeColor="text1"/>
          <w:sz w:val="22"/>
          <w:szCs w:val="22"/>
        </w:rPr>
        <w:t>Frontiers in Psychology</w:t>
      </w:r>
      <w:r w:rsidRPr="00E44DE1">
        <w:rPr>
          <w:rFonts w:ascii="Times New Roman" w:hAnsi="Times New Roman" w:cs="Times New Roman"/>
          <w:color w:val="000000" w:themeColor="text1"/>
          <w:sz w:val="22"/>
          <w:szCs w:val="22"/>
        </w:rPr>
        <w:t xml:space="preserve"> 13 (2022), https://www.frontiersin.org/articles/10.3389/fpsyg.2022.933263.</w:t>
      </w:r>
      <w:r w:rsidRPr="00E44DE1">
        <w:rPr>
          <w:rFonts w:ascii="Times New Roman" w:hAnsi="Times New Roman" w:cs="Times New Roman"/>
          <w:color w:val="000000" w:themeColor="text1"/>
          <w:sz w:val="22"/>
          <w:szCs w:val="22"/>
        </w:rPr>
        <w:fldChar w:fldCharType="end"/>
      </w:r>
    </w:p>
  </w:footnote>
  <w:footnote w:id="15">
    <w:p w14:paraId="144785F7" w14:textId="67417DC4" w:rsidR="00336579" w:rsidRPr="00E44DE1" w:rsidRDefault="00336579">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00C115CE" w:rsidRPr="00E44DE1">
        <w:rPr>
          <w:rFonts w:ascii="Times New Roman" w:hAnsi="Times New Roman" w:cs="Times New Roman"/>
          <w:color w:val="000000" w:themeColor="text1"/>
          <w:sz w:val="22"/>
          <w:szCs w:val="22"/>
        </w:rPr>
        <w:t xml:space="preserve">Jennifer </w:t>
      </w:r>
      <w:r w:rsidR="00036E8B" w:rsidRPr="00E44DE1">
        <w:rPr>
          <w:rFonts w:ascii="Times New Roman" w:hAnsi="Times New Roman" w:cs="Times New Roman"/>
          <w:color w:val="000000" w:themeColor="text1"/>
          <w:sz w:val="22"/>
          <w:szCs w:val="22"/>
        </w:rPr>
        <w:t>Hadden</w:t>
      </w:r>
      <w:r w:rsidR="00730CBA" w:rsidRPr="00E44DE1">
        <w:rPr>
          <w:rFonts w:ascii="Times New Roman" w:hAnsi="Times New Roman" w:cs="Times New Roman"/>
          <w:color w:val="000000" w:themeColor="text1"/>
          <w:sz w:val="22"/>
          <w:szCs w:val="22"/>
        </w:rPr>
        <w:t xml:space="preserve"> </w:t>
      </w:r>
      <w:r w:rsidR="00036E8B" w:rsidRPr="00E44DE1">
        <w:rPr>
          <w:rFonts w:ascii="Times New Roman" w:hAnsi="Times New Roman" w:cs="Times New Roman"/>
          <w:color w:val="000000" w:themeColor="text1"/>
          <w:sz w:val="22"/>
          <w:szCs w:val="22"/>
        </w:rPr>
        <w:t>and Sidney Tarrow</w:t>
      </w:r>
      <w:r w:rsidR="00B13327" w:rsidRPr="00E44DE1">
        <w:rPr>
          <w:rFonts w:ascii="Times New Roman" w:hAnsi="Times New Roman" w:cs="Times New Roman"/>
          <w:color w:val="000000" w:themeColor="text1"/>
          <w:sz w:val="22"/>
          <w:szCs w:val="22"/>
        </w:rPr>
        <w:t>,</w:t>
      </w:r>
      <w:r w:rsidR="00036E8B" w:rsidRPr="00E44DE1">
        <w:rPr>
          <w:rFonts w:ascii="Times New Roman" w:hAnsi="Times New Roman" w:cs="Times New Roman"/>
          <w:color w:val="000000" w:themeColor="text1"/>
          <w:sz w:val="22"/>
          <w:szCs w:val="22"/>
        </w:rPr>
        <w:t xml:space="preserve"> “Spillover or Spillout? The Global Justice Movement in the United States After 9/11</w:t>
      </w:r>
      <w:r w:rsidR="00203D61" w:rsidRPr="00E44DE1">
        <w:rPr>
          <w:rFonts w:ascii="Times New Roman" w:hAnsi="Times New Roman" w:cs="Times New Roman"/>
          <w:color w:val="000000" w:themeColor="text1"/>
          <w:sz w:val="22"/>
          <w:szCs w:val="22"/>
        </w:rPr>
        <w:t>,</w:t>
      </w:r>
      <w:r w:rsidR="00036E8B" w:rsidRPr="00E44DE1">
        <w:rPr>
          <w:rFonts w:ascii="Times New Roman" w:hAnsi="Times New Roman" w:cs="Times New Roman"/>
          <w:color w:val="000000" w:themeColor="text1"/>
          <w:sz w:val="22"/>
          <w:szCs w:val="22"/>
        </w:rPr>
        <w:t xml:space="preserve">” </w:t>
      </w:r>
      <w:r w:rsidR="00036E8B" w:rsidRPr="00E44DE1">
        <w:rPr>
          <w:rFonts w:ascii="Times New Roman" w:hAnsi="Times New Roman" w:cs="Times New Roman"/>
          <w:i/>
          <w:iCs/>
          <w:color w:val="000000" w:themeColor="text1"/>
          <w:sz w:val="22"/>
          <w:szCs w:val="22"/>
        </w:rPr>
        <w:t>Mobilization: An International Quarterly</w:t>
      </w:r>
      <w:r w:rsidR="00036E8B" w:rsidRPr="00E44DE1">
        <w:rPr>
          <w:rFonts w:ascii="Times New Roman" w:hAnsi="Times New Roman" w:cs="Times New Roman"/>
          <w:color w:val="000000" w:themeColor="text1"/>
          <w:sz w:val="22"/>
          <w:szCs w:val="22"/>
        </w:rPr>
        <w:t xml:space="preserve"> 12, no. 4 (January 11, 2008): 359–76.</w:t>
      </w:r>
    </w:p>
  </w:footnote>
  <w:footnote w:id="16">
    <w:p w14:paraId="00FFBB4C" w14:textId="3A95F0CF" w:rsidR="00E53347" w:rsidRPr="00E44DE1" w:rsidRDefault="00E53347" w:rsidP="00E53347">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{"citationID":"OxBZzh4w","properties":{"formattedCitation":"O\\uc0\\u8217{}Rourke, \\uc0\\u8220{}Transitional Justice and Gender.\\uc0\\u8221{}","plainCitation":"O’Rourke, “Transitional Justice and Gender.”","noteIndex":15},"citationItems":[{"id":9950,"uris":["http://zotero.org/groups/2727724/items/Z2S68FH8"],"itemData":{"id":9950,"type":"chapter","abstract":"The chapter provides an introduction and overview of key themes and dilemmas in gender scholarship and practice in transitional justice. The chapter begins by addressing preliminary definitional issues concerning ‘gender’, while also outlining the international normative and policy framework that guides the treatment of gender in transitional justice practice. The chapter identifies and outlines the following key themes of gender work in the field: the definition of ‘harm’ in transitional justice; addressing structural gender inequalities through transitional justice; the participation of women in processes and mechanisms; the place of men and masculinities; and practice to date in addressing violations experienced by sexual minorities. The chapter considers some of the enduring dilemmas in gender work in transitional justice, in particular the ongoing challenge of operationalising gender in practice, whether such efforts should be principally technical or transformative, and the gender implications of the mooted relationship of transitional justice to empire. The chapter concludes by emphasizing the importance of translating scholarly and policy developments into gender-equitable outcomes in transitional justice.Gender; harm; inequalities; masculinities; sexual minorities; empire","container-title":"Research Handbook on Transitional Justice","ISBN":"978-1-78195-531-4","language":"en_US","note":"section: Research Handbook on Transitional Justice","page":"117-141","publisher":"Edward Elgar Publishing","source":"www-elgaronline-com.ezp-prod1.hul.harvard.edu","title":"Transitional justice and gender","URL":"https://www.elgaronline.com/display/edcoll/9781781955307/9781781955307.00013.xml","author":[{"family":"O’Rourke","given":"Catherine"}],"accessed":{"date-parts":[["2023",3,3]]},"issued":{"date-parts":[["2017",6,30]]}}}],"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O’Rourke, “Transitional Justice and Gender.”</w:t>
      </w:r>
      <w:r w:rsidRPr="00E44DE1">
        <w:rPr>
          <w:rFonts w:ascii="Times New Roman" w:hAnsi="Times New Roman" w:cs="Times New Roman"/>
          <w:color w:val="000000" w:themeColor="text1"/>
          <w:sz w:val="22"/>
          <w:szCs w:val="22"/>
        </w:rPr>
        <w:fldChar w:fldCharType="end"/>
      </w:r>
    </w:p>
  </w:footnote>
  <w:footnote w:id="17">
    <w:p w14:paraId="6DC10CFA" w14:textId="18149B97" w:rsidR="00E53347" w:rsidRPr="00E44DE1" w:rsidRDefault="00E53347" w:rsidP="00E53347">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Sometimes the literature mentions positive change mainly to underscore a new critique. In 2007, Brandon Hamber recognized “a growing focus on including women in transitional justice processes,” to highlight how attention to masculinity was missing. “Masculinity and Transitional Justice: An Exploratory Essay,” </w:t>
      </w:r>
      <w:r w:rsidRPr="00E44DE1">
        <w:rPr>
          <w:rFonts w:ascii="Times New Roman" w:hAnsi="Times New Roman" w:cs="Times New Roman"/>
          <w:i/>
          <w:iCs/>
          <w:color w:val="000000" w:themeColor="text1"/>
          <w:sz w:val="22"/>
          <w:szCs w:val="22"/>
        </w:rPr>
        <w:t>The International Journal of Transitional Justice</w:t>
      </w:r>
      <w:r w:rsidRPr="00E44DE1">
        <w:rPr>
          <w:rFonts w:ascii="Times New Roman" w:hAnsi="Times New Roman" w:cs="Times New Roman"/>
          <w:color w:val="000000" w:themeColor="text1"/>
          <w:sz w:val="22"/>
          <w:szCs w:val="22"/>
        </w:rPr>
        <w:t xml:space="preserve"> 1, no. 3 (2007): 375</w:t>
      </w:r>
      <w:r w:rsidR="004161CF" w:rsidRPr="00E44DE1">
        <w:rPr>
          <w:rFonts w:ascii="Times New Roman" w:hAnsi="Times New Roman" w:cs="Times New Roman"/>
          <w:color w:val="000000" w:themeColor="text1"/>
          <w:sz w:val="22"/>
          <w:szCs w:val="22"/>
        </w:rPr>
        <w:t>-3</w:t>
      </w:r>
      <w:r w:rsidRPr="00E44DE1">
        <w:rPr>
          <w:rFonts w:ascii="Times New Roman" w:hAnsi="Times New Roman" w:cs="Times New Roman"/>
          <w:color w:val="000000" w:themeColor="text1"/>
          <w:sz w:val="22"/>
          <w:szCs w:val="22"/>
        </w:rPr>
        <w:t xml:space="preserve">90. </w:t>
      </w:r>
    </w:p>
  </w:footnote>
  <w:footnote w:id="18">
    <w:p w14:paraId="13AAB352" w14:textId="2866F440" w:rsidR="00681EFE" w:rsidRPr="00E44DE1" w:rsidRDefault="00681EFE" w:rsidP="00985C1E">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Our dataset can be found at </w:t>
      </w:r>
      <w:hyperlink r:id="rId2" w:history="1">
        <w:r w:rsidRPr="00E44DE1">
          <w:rPr>
            <w:rStyle w:val="Hyperlink"/>
            <w:rFonts w:ascii="Times New Roman" w:hAnsi="Times New Roman" w:cs="Times New Roman"/>
            <w:color w:val="000000" w:themeColor="text1"/>
            <w:sz w:val="22"/>
            <w:szCs w:val="22"/>
            <w:u w:val="none"/>
          </w:rPr>
          <w:t>https://transitionaljusticedata.org/en/</w:t>
        </w:r>
      </w:hyperlink>
      <w:r w:rsidRPr="00E44DE1">
        <w:rPr>
          <w:rFonts w:ascii="Times New Roman" w:hAnsi="Times New Roman" w:cs="Times New Roman"/>
          <w:color w:val="000000" w:themeColor="text1"/>
          <w:sz w:val="22"/>
          <w:szCs w:val="22"/>
        </w:rPr>
        <w:t xml:space="preserve"> in English, or </w:t>
      </w:r>
      <w:hyperlink r:id="rId3" w:history="1">
        <w:r w:rsidRPr="00E44DE1">
          <w:rPr>
            <w:rStyle w:val="Hyperlink"/>
            <w:rFonts w:ascii="Times New Roman" w:hAnsi="Times New Roman" w:cs="Times New Roman"/>
            <w:color w:val="000000" w:themeColor="text1"/>
            <w:sz w:val="22"/>
            <w:szCs w:val="22"/>
            <w:u w:val="none"/>
          </w:rPr>
          <w:t>https://transitionaljusticedata.org/fr/</w:t>
        </w:r>
      </w:hyperlink>
      <w:r w:rsidRPr="00E44DE1">
        <w:rPr>
          <w:rFonts w:ascii="Times New Roman" w:hAnsi="Times New Roman" w:cs="Times New Roman"/>
          <w:color w:val="000000" w:themeColor="text1"/>
          <w:sz w:val="22"/>
          <w:szCs w:val="22"/>
        </w:rPr>
        <w:t xml:space="preserve"> in French. </w:t>
      </w:r>
      <w:r w:rsidR="002A2115" w:rsidRPr="00E44DE1">
        <w:rPr>
          <w:rFonts w:ascii="Times New Roman" w:hAnsi="Times New Roman" w:cs="Times New Roman"/>
          <w:color w:val="000000" w:themeColor="text1"/>
          <w:sz w:val="22"/>
          <w:szCs w:val="22"/>
        </w:rPr>
        <w:t xml:space="preserve"> </w:t>
      </w:r>
    </w:p>
    <w:p w14:paraId="1CF13C39" w14:textId="77777777" w:rsidR="00681EFE" w:rsidRPr="00E44DE1" w:rsidRDefault="00681EFE">
      <w:pPr>
        <w:pStyle w:val="FootnoteText"/>
        <w:rPr>
          <w:rFonts w:ascii="Times New Roman" w:hAnsi="Times New Roman" w:cs="Times New Roman"/>
          <w:color w:val="000000" w:themeColor="text1"/>
          <w:sz w:val="22"/>
          <w:szCs w:val="22"/>
        </w:rPr>
      </w:pPr>
    </w:p>
  </w:footnote>
  <w:footnote w:id="19">
    <w:p w14:paraId="7B992A7B" w14:textId="77777777" w:rsidR="0025115E" w:rsidRPr="00E44DE1" w:rsidRDefault="0025115E" w:rsidP="0025115E">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Margaret E. Keck and Kathryn Sikkink, </w:t>
      </w:r>
      <w:r w:rsidRPr="00E44DE1">
        <w:rPr>
          <w:rFonts w:ascii="Times New Roman" w:hAnsi="Times New Roman" w:cs="Times New Roman"/>
          <w:i/>
          <w:iCs/>
          <w:color w:val="000000" w:themeColor="text1"/>
          <w:sz w:val="22"/>
          <w:szCs w:val="22"/>
        </w:rPr>
        <w:t>Activists Beyond Borders: Advocacy Networks in International Politics</w:t>
      </w:r>
      <w:r w:rsidRPr="00E44DE1">
        <w:rPr>
          <w:rFonts w:ascii="Times New Roman" w:hAnsi="Times New Roman" w:cs="Times New Roman"/>
          <w:color w:val="000000" w:themeColor="text1"/>
          <w:sz w:val="22"/>
          <w:szCs w:val="22"/>
        </w:rPr>
        <w:t xml:space="preserve"> (Ithaca, NY: Cornell University Press, 1998), 166. </w:t>
      </w:r>
    </w:p>
  </w:footnote>
  <w:footnote w:id="20">
    <w:p w14:paraId="07843D4F" w14:textId="0172E0E9" w:rsidR="00104C5B" w:rsidRPr="00E44DE1" w:rsidRDefault="00104C5B">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Pr="00E44DE1">
        <w:rPr>
          <w:rFonts w:ascii="Times New Roman" w:hAnsi="Times New Roman" w:cs="Times New Roman"/>
          <w:color w:val="000000" w:themeColor="text1"/>
          <w:sz w:val="22"/>
          <w:szCs w:val="22"/>
        </w:rPr>
        <w:instrText xml:space="preserve"> ADDIN ZOTERO_ITEM CSL_CITATION {"citationID":"TBwKDaez","properties":{"formattedCitation":"Tuba Inal, {\\i{}Looting and Rape in Wartime:Law and Change in International Relations}, 1st ed., Pennsylvania Studies in Human Rights (Philadelphia: University of Pennsylvania Press, 2013).","plainCitation":"Tuba Inal, Looting and Rape in Wartime:Law and Change in International Relations, 1st ed., Pennsylvania Studies in Human Rights (Philadelphia: University of Pennsylvania Press, 2013).","noteIndex":19},"citationItems":[{"id":28460,"uris":["http://zotero.org/groups/5222594/items/NW7HDFRQ"],"itemData":{"id":28460,"type":"book","abstract":"Women were historically treated in wartime as property. Yet in the Hague Conventions of 1899 and 1907, prohibitions against pillaging property did not extend to the female body. There is a gap of nearly a hundred years between those early prohibitions of pillage and the prohibition of rape finally enacted in the Rome Statute of 1998. In Looting and Rape in Wartime, Tuba Inal addresses the development of these two separate \"prohibition regimes,\" exploring why states make and agree to laws that determine the way war is conducted, and what role gender plays in this process. Inal argues that three conditions are necessary for the emergence of a global prohibition regime: first, a state must believe that it is necessary to comply with the prohibition and that to do otherwise would be costly; second, the idea that a particular practice is undesirable must become the norm; finally, a prohibition regime emerges with state and nonstate actors supporting it all along the way. These conditions are met by the prohibition against pillage, which developed from a confluence of material circumstances and an ideological context: the nineteenth century fostered ideas about the sanctity of private property, which made the act of looting seem more abhorrent. Meanwhile, the existence of conscripted and regulated armies meant that militaries could take measures to prevent it. In that period, however, rape was still considered a crime of passion or a symptom of behavioral disorder-in other words, a distortion of male sexuality and outside of state control-and it would take many decades to erode the grip of those ideas. Only toward the end of the twentieth century did transformations in gender ideology and the increased participation of women in politics bring about broad cultural shifts in the way we perceive sexual violence, women, and women's roles in policy and lawmaking. In examining the historical and ideological context of how these two regimes evolved, Looting and Rape in Wartime provides vital perspective on the forces that block or bring about change in international relations.","collection-title":"Pennsylvania Studies in Human Rights","edition":"1st ed.","event-place":"Philadelphia","ISBN":"978-0-8122-2384-2","language":"eng","number-of-pages":"280","publisher":"University of Pennsylvania Press","publisher-place":"Philadelphia","source":"hollis.harvard.edu","title":"Looting and rape in wartime:law and change in international relations","title-short":"Looting and rape in wartime","author":[{"family":"Inal","given":"Tuba"}],"issued":{"date-parts":[["2013"]]}}}],"schema":"https://github.com/citation-style-language/schema/raw/master/csl-citation.json"}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Tuba Inal, </w:t>
      </w:r>
      <w:r w:rsidRPr="00E44DE1">
        <w:rPr>
          <w:rFonts w:ascii="Times New Roman" w:hAnsi="Times New Roman" w:cs="Times New Roman"/>
          <w:i/>
          <w:iCs/>
          <w:color w:val="000000" w:themeColor="text1"/>
          <w:sz w:val="22"/>
          <w:szCs w:val="22"/>
        </w:rPr>
        <w:t>Looting and Rape in Wartime:Law and Change in International Relations</w:t>
      </w:r>
      <w:r w:rsidRPr="00E44DE1">
        <w:rPr>
          <w:rFonts w:ascii="Times New Roman" w:hAnsi="Times New Roman" w:cs="Times New Roman"/>
          <w:color w:val="000000" w:themeColor="text1"/>
          <w:sz w:val="22"/>
          <w:szCs w:val="22"/>
        </w:rPr>
        <w:t>, 1st ed., Pennsylvania Studies in Human Rights (Philadelphia: University of Pennsylvania Press, 2013).</w:t>
      </w:r>
      <w:r w:rsidRPr="00E44DE1">
        <w:rPr>
          <w:rFonts w:ascii="Times New Roman" w:hAnsi="Times New Roman" w:cs="Times New Roman"/>
          <w:color w:val="000000" w:themeColor="text1"/>
          <w:sz w:val="22"/>
          <w:szCs w:val="22"/>
        </w:rPr>
        <w:fldChar w:fldCharType="end"/>
      </w:r>
    </w:p>
  </w:footnote>
  <w:footnote w:id="21">
    <w:p w14:paraId="133CE094" w14:textId="1C4DFF28" w:rsidR="001946A7" w:rsidRPr="00E44DE1" w:rsidRDefault="001946A7">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On the role of the UNSC Women, Peace and Security Resolutions, see also Sanne Weber, “Gender and Transitional Justice,” in </w:t>
      </w:r>
      <w:r w:rsidRPr="00E44DE1">
        <w:rPr>
          <w:rFonts w:ascii="Times New Roman" w:hAnsi="Times New Roman" w:cs="Times New Roman"/>
          <w:i/>
          <w:iCs/>
          <w:color w:val="000000" w:themeColor="text1"/>
          <w:sz w:val="22"/>
          <w:szCs w:val="22"/>
        </w:rPr>
        <w:t>Transitional Justice: Theories, Mechanisms, and Debates</w:t>
      </w:r>
      <w:r w:rsidRPr="00E44DE1">
        <w:rPr>
          <w:rFonts w:ascii="Times New Roman" w:hAnsi="Times New Roman" w:cs="Times New Roman"/>
          <w:color w:val="000000" w:themeColor="text1"/>
          <w:sz w:val="22"/>
          <w:szCs w:val="22"/>
        </w:rPr>
        <w:t xml:space="preserve">, ed. Hakeem O. Yusuf and Hugo van der Merwe (London: Routledge, 2021); Maria Martin de Almagro, and Philipp Schulz, “Gender and Transitional Justice,” in </w:t>
      </w:r>
      <w:r w:rsidRPr="00E44DE1">
        <w:rPr>
          <w:rFonts w:ascii="Times New Roman" w:hAnsi="Times New Roman" w:cs="Times New Roman"/>
          <w:i/>
          <w:iCs/>
          <w:color w:val="000000" w:themeColor="text1"/>
          <w:sz w:val="22"/>
          <w:szCs w:val="22"/>
        </w:rPr>
        <w:t>Oxford Research Encyclopedia of International Studies</w:t>
      </w:r>
      <w:r w:rsidRPr="00E44DE1">
        <w:rPr>
          <w:rFonts w:ascii="Times New Roman" w:hAnsi="Times New Roman" w:cs="Times New Roman"/>
          <w:color w:val="000000" w:themeColor="text1"/>
          <w:sz w:val="22"/>
          <w:szCs w:val="22"/>
        </w:rPr>
        <w:t>, 2022.</w:t>
      </w:r>
    </w:p>
  </w:footnote>
  <w:footnote w:id="22">
    <w:p w14:paraId="553E1194" w14:textId="0EECEF94" w:rsidR="00C217B1" w:rsidRPr="00E44DE1" w:rsidRDefault="00C217B1">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Nordås and Cohen, “Conflict-Related Sexual Violence,” 196. Loken, Lake, and Cronin-Furman, “Deploying Justice.”</w:t>
      </w:r>
      <w:r w:rsidR="000E4194" w:rsidRPr="00E44DE1">
        <w:rPr>
          <w:rFonts w:ascii="Times New Roman" w:hAnsi="Times New Roman" w:cs="Times New Roman"/>
          <w:color w:val="000000" w:themeColor="text1"/>
          <w:sz w:val="22"/>
          <w:szCs w:val="22"/>
        </w:rPr>
        <w:t xml:space="preserve"> O’Rourke, </w:t>
      </w:r>
      <w:r w:rsidR="00AA26CA" w:rsidRPr="00E44DE1">
        <w:rPr>
          <w:rFonts w:ascii="Times New Roman" w:hAnsi="Times New Roman" w:cs="Times New Roman"/>
          <w:color w:val="000000" w:themeColor="text1"/>
          <w:sz w:val="22"/>
          <w:szCs w:val="22"/>
        </w:rPr>
        <w:t>“</w:t>
      </w:r>
      <w:r w:rsidR="00152D9D" w:rsidRPr="00E44DE1">
        <w:rPr>
          <w:rFonts w:ascii="Times New Roman" w:hAnsi="Times New Roman" w:cs="Times New Roman"/>
          <w:color w:val="000000" w:themeColor="text1"/>
          <w:sz w:val="22"/>
          <w:szCs w:val="22"/>
        </w:rPr>
        <w:t xml:space="preserve">Transitional Justice and </w:t>
      </w:r>
      <w:r w:rsidR="00AA26CA" w:rsidRPr="00E44DE1">
        <w:rPr>
          <w:rFonts w:ascii="Times New Roman" w:hAnsi="Times New Roman" w:cs="Times New Roman"/>
          <w:color w:val="000000" w:themeColor="text1"/>
          <w:sz w:val="22"/>
          <w:szCs w:val="22"/>
        </w:rPr>
        <w:t xml:space="preserve">Gender,” </w:t>
      </w:r>
      <w:r w:rsidR="00132A0B" w:rsidRPr="00E44DE1">
        <w:rPr>
          <w:rFonts w:ascii="Times New Roman" w:hAnsi="Times New Roman" w:cs="Times New Roman"/>
          <w:color w:val="000000" w:themeColor="text1"/>
          <w:sz w:val="22"/>
          <w:szCs w:val="22"/>
        </w:rPr>
        <w:t>124.</w:t>
      </w:r>
      <w:r w:rsidR="004157FC" w:rsidRPr="00E44DE1">
        <w:rPr>
          <w:rFonts w:ascii="Times New Roman" w:hAnsi="Times New Roman" w:cs="Times New Roman"/>
          <w:color w:val="000000" w:themeColor="text1"/>
          <w:sz w:val="22"/>
          <w:szCs w:val="22"/>
        </w:rPr>
        <w:t xml:space="preserve"> </w:t>
      </w:r>
    </w:p>
  </w:footnote>
  <w:footnote w:id="23">
    <w:p w14:paraId="58F454BE" w14:textId="7B4C69CE" w:rsidR="00C217B1" w:rsidRPr="00E44DE1" w:rsidRDefault="00C217B1" w:rsidP="00C217B1">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{"citationID":"RG179tEL","properties":{"formattedCitation":"Keck and Sikkink, 187.","plainCitation":"Keck and Sikkink, 187.","dontUpdate":true,"noteIndex":21},"citationItems":[{"id":1072,"uris":["http://zotero.org/groups/272563/items/CPM9D9XS"],"itemData":{"id":1072,"type":"book","abstract":"Margaret E. Keck and Kathryn Sikkink examine a type of pressure group that has been largely ignored by political analysts: networks of activists that coalesce and operate across national frontiers. Their targets may be international organizations or the policies of particular states. Historical examples of such transborder alliances include anti-slavery and woman suffrage campaigns. In the past two decades, transnational activism has had a significant impact in human rights, especially in Latin America, and advocacy networks have strongly influenced environmental politics as well. The authors also examine the emergence of an international campaign around violence against women., The conventions of the nation-state have shaped our contemporary understanding of the process and politics of social movements. Keck and Sikkink sketch for the first time the dynamics of emergence, strategies, and impact of activists from different nationalities working together on particular issues. This eagerly awaited work will alter the way scholars conceptualize the making of international society and the practice of international politics.","call-number":"JF529","event-place":"Ithaca, NY","ISBN":"978-0-8014-3444-0","language":"eng","number-of-pages":"xii+227","publisher":"Cornell University Press","publisher-place":"Ithaca, NY","source":"Primo","title":"Activists beyond borders: advocacy networks in international politics","title-short":"Activists beyond borders","author":[{"family":"Keck","given":"Margaret E."},{"family":"Sikkink","given":"Kathryn"}],"issued":{"date-parts":[["1998"]]}},"locator":"187.","label":"page"}],"schema":"https://github.com/citation-style-language/schema/raw/master/csl-citation.json"}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noProof/>
          <w:color w:val="000000" w:themeColor="text1"/>
          <w:sz w:val="22"/>
          <w:szCs w:val="22"/>
        </w:rPr>
        <w:t xml:space="preserve">Keck and Sikkink, </w:t>
      </w:r>
      <w:r w:rsidR="004B2C33" w:rsidRPr="00E44DE1">
        <w:rPr>
          <w:rFonts w:ascii="Times New Roman" w:hAnsi="Times New Roman" w:cs="Times New Roman"/>
          <w:i/>
          <w:iCs/>
          <w:noProof/>
          <w:color w:val="000000" w:themeColor="text1"/>
          <w:sz w:val="22"/>
          <w:szCs w:val="22"/>
        </w:rPr>
        <w:t>Activists Beyond Borders</w:t>
      </w:r>
      <w:r w:rsidR="004B2C33" w:rsidRPr="00E44DE1">
        <w:rPr>
          <w:rFonts w:ascii="Times New Roman" w:hAnsi="Times New Roman" w:cs="Times New Roman"/>
          <w:noProof/>
          <w:color w:val="000000" w:themeColor="text1"/>
          <w:sz w:val="22"/>
          <w:szCs w:val="22"/>
        </w:rPr>
        <w:t xml:space="preserve">, </w:t>
      </w:r>
      <w:r w:rsidRPr="00E44DE1">
        <w:rPr>
          <w:rFonts w:ascii="Times New Roman" w:hAnsi="Times New Roman" w:cs="Times New Roman"/>
          <w:noProof/>
          <w:color w:val="000000" w:themeColor="text1"/>
          <w:sz w:val="22"/>
          <w:szCs w:val="22"/>
        </w:rPr>
        <w:t>187.</w:t>
      </w:r>
      <w:r w:rsidRPr="00E44DE1">
        <w:rPr>
          <w:rFonts w:ascii="Times New Roman" w:hAnsi="Times New Roman" w:cs="Times New Roman"/>
          <w:color w:val="000000" w:themeColor="text1"/>
          <w:sz w:val="22"/>
          <w:szCs w:val="22"/>
        </w:rPr>
        <w:fldChar w:fldCharType="end"/>
      </w:r>
    </w:p>
  </w:footnote>
  <w:footnote w:id="24">
    <w:p w14:paraId="272B1D1B" w14:textId="1FFAB32D" w:rsidR="00DF4C80" w:rsidRPr="00E44DE1" w:rsidRDefault="00DF4C80" w:rsidP="00DF4C80">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Nordås and Cohen, “Conflict-Related Sexual Violence,” 196. (check page number to be sure, since we use a direct quote) </w:t>
      </w:r>
    </w:p>
  </w:footnote>
  <w:footnote w:id="25">
    <w:p w14:paraId="1EBB3DED" w14:textId="11096FEE" w:rsidR="00966B99" w:rsidRPr="00E44DE1" w:rsidRDefault="00966B99" w:rsidP="00966B99">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00F55FD3" w:rsidRPr="00E44DE1">
        <w:rPr>
          <w:rFonts w:ascii="Times New Roman" w:hAnsi="Times New Roman" w:cs="Times New Roman"/>
          <w:color w:val="000000" w:themeColor="text1"/>
          <w:sz w:val="22"/>
          <w:szCs w:val="22"/>
        </w:rPr>
        <w:t>Fionnuala</w:t>
      </w:r>
      <w:r w:rsidR="00067550" w:rsidRPr="00E44DE1">
        <w:rPr>
          <w:rFonts w:ascii="Times New Roman" w:hAnsi="Times New Roman" w:cs="Times New Roman"/>
          <w:color w:val="000000" w:themeColor="text1"/>
          <w:sz w:val="22"/>
          <w:szCs w:val="22"/>
        </w:rPr>
        <w:t xml:space="preserve"> </w:t>
      </w:r>
      <w:r w:rsidR="00CE1BB4"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{"citationID":"TAmrJCID","properties":{"formattedCitation":"Aolain, \\uc0\\u8220{}Women, Security, and the Patriarchy of Internationalized Transitional Justice,\\uc0\\u8221{} 1059.","plainCitation":"Aolain, “Women, Security, and the Patriarchy of Internationalized Transitional Justice,” 1059.","dontUpdate":true,"noteIndex":22},"citationItems":[{"id":4714,"uris":["http://zotero.org/groups/791179/items/QMJBF59E"],"itemData":{"id":4714,"type":"article-journal","abstract":"In the contemporary global context, transitions from conflict to peace and from authoritarian to democratic governance are a critical preoccupation of many states. In these contexts, accountability for the abuses committed by prior regimes has been a priority for international institutions, states, and new governments. Nonetheless, transitional justice goals have expanded to include a broad range of structural reforms in multiple spheres. Whether an expanded or contracted transitional justice paradigm is used to define the perimeters of change, gender concerns have been markedly absent across jurisdictions experiencing transformation. This article examines the conceptualization of and legal provision for gender security and its subsequent effects upon accountability in times of transition, with particular reference to post-conflict societies. The article closely assesses a range of contemporary issues implicated for women including an examination of post-conflict security from a gender perspective, gender and disarmament, and the centrality and effect of security sector reform for women. The article pays particular attention to the under-theorized and under-researched role of international masculinities, and the patriarchy that is imported with international oversight of transitional societies.","container-title":"Human rights quarterly","DOI":"10.1353/hrq.0.0114","ISSN":"0275-0392","issue":"4","language":"eng","note":"publisher-place: BALTIMORE\npublisher: The Johns Hopkins University Press","page":"1055–1085","source":"hollis.harvard.edu","title":"Women, Security, and the Patriarchy of Internationalized Transitional Justice","volume":"31","author":[{"family":"Aolain","given":"Fionnuala Ni"}],"issued":{"date-parts":[["2009"]]}},"locator":"1059","label":"page"}],"schema":"https://github.com/citation-style-language/schema/raw/master/csl-citation.json"} </w:instrText>
      </w:r>
      <w:r w:rsidR="00CE1BB4" w:rsidRPr="00E44DE1">
        <w:rPr>
          <w:rFonts w:ascii="Times New Roman" w:hAnsi="Times New Roman" w:cs="Times New Roman"/>
          <w:color w:val="000000" w:themeColor="text1"/>
          <w:sz w:val="22"/>
          <w:szCs w:val="22"/>
        </w:rPr>
        <w:fldChar w:fldCharType="separate"/>
      </w:r>
      <w:r w:rsidR="004C3F63" w:rsidRPr="00E44DE1">
        <w:rPr>
          <w:rFonts w:ascii="Times New Roman" w:hAnsi="Times New Roman" w:cs="Times New Roman"/>
          <w:color w:val="000000" w:themeColor="text1"/>
          <w:sz w:val="22"/>
          <w:szCs w:val="22"/>
        </w:rPr>
        <w:t>Ní Aoláin</w:t>
      </w:r>
      <w:r w:rsidR="003A7F0C" w:rsidRPr="00E44DE1">
        <w:rPr>
          <w:rFonts w:ascii="Times New Roman" w:hAnsi="Times New Roman" w:cs="Times New Roman"/>
          <w:color w:val="000000" w:themeColor="text1"/>
          <w:sz w:val="22"/>
          <w:szCs w:val="22"/>
        </w:rPr>
        <w:t>, “Women, Security, and the Patriarchy of Internationalized Transitional Justice,”</w:t>
      </w:r>
      <w:r w:rsidR="00211D10" w:rsidRPr="00E44DE1">
        <w:rPr>
          <w:rFonts w:ascii="Times New Roman" w:hAnsi="Times New Roman" w:cs="Times New Roman"/>
          <w:color w:val="000000" w:themeColor="text1"/>
          <w:sz w:val="22"/>
          <w:szCs w:val="22"/>
        </w:rPr>
        <w:t xml:space="preserve"> </w:t>
      </w:r>
      <w:r w:rsidR="00211D10" w:rsidRPr="00E44DE1">
        <w:rPr>
          <w:rFonts w:ascii="Times New Roman" w:hAnsi="Times New Roman" w:cs="Times New Roman"/>
          <w:i/>
          <w:iCs/>
          <w:color w:val="000000" w:themeColor="text1"/>
          <w:sz w:val="22"/>
          <w:szCs w:val="22"/>
        </w:rPr>
        <w:t>Human Rights Quarterly</w:t>
      </w:r>
      <w:r w:rsidR="005E186D" w:rsidRPr="00E44DE1">
        <w:rPr>
          <w:rFonts w:ascii="Times New Roman" w:hAnsi="Times New Roman" w:cs="Times New Roman"/>
          <w:color w:val="000000" w:themeColor="text1"/>
          <w:sz w:val="22"/>
          <w:szCs w:val="22"/>
        </w:rPr>
        <w:t xml:space="preserve"> 31</w:t>
      </w:r>
      <w:r w:rsidR="00960A1B" w:rsidRPr="00E44DE1">
        <w:rPr>
          <w:rFonts w:ascii="Times New Roman" w:hAnsi="Times New Roman" w:cs="Times New Roman"/>
          <w:color w:val="000000" w:themeColor="text1"/>
          <w:sz w:val="22"/>
          <w:szCs w:val="22"/>
        </w:rPr>
        <w:t xml:space="preserve"> (2009):</w:t>
      </w:r>
      <w:r w:rsidR="003A7F0C" w:rsidRPr="00E44DE1">
        <w:rPr>
          <w:rFonts w:ascii="Times New Roman" w:hAnsi="Times New Roman" w:cs="Times New Roman"/>
          <w:color w:val="000000" w:themeColor="text1"/>
          <w:sz w:val="22"/>
          <w:szCs w:val="22"/>
        </w:rPr>
        <w:t xml:space="preserve"> 1059</w:t>
      </w:r>
      <w:r w:rsidR="00CE1BB4" w:rsidRPr="00E44DE1">
        <w:rPr>
          <w:rFonts w:ascii="Times New Roman" w:hAnsi="Times New Roman" w:cs="Times New Roman"/>
          <w:color w:val="000000" w:themeColor="text1"/>
          <w:sz w:val="22"/>
          <w:szCs w:val="22"/>
        </w:rPr>
        <w:fldChar w:fldCharType="end"/>
      </w:r>
      <w:r w:rsidR="006824B9" w:rsidRPr="00E44DE1">
        <w:rPr>
          <w:rFonts w:ascii="Times New Roman" w:hAnsi="Times New Roman" w:cs="Times New Roman"/>
          <w:color w:val="000000" w:themeColor="text1"/>
          <w:sz w:val="22"/>
          <w:szCs w:val="22"/>
        </w:rPr>
        <w:t>;</w:t>
      </w:r>
      <w:r w:rsidR="00CE1BB4"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{"citationID":"DchNG06K","properties":{"formattedCitation":"Fionnuala Ni Aolain, \\uc0\\u8220{}The Inner and Outer Limits of Gendered Transitional Justice,\\uc0\\u8221{} {\\i{}\\uc0\\u201{}ire-Ireland (St. Paul)} 55, no. 1 (2020): 280, https://doi.org/10.1353/eir.2020.0012.","plainCitation":"Fionnuala Ni Aolain, “The Inner and Outer Limits of Gendered Transitional Justice,” Éire-Ireland (St. Paul) 55, no. 1 (2020): 280, https://doi.org/10.1353/eir.2020.0012.","dontUpdate":true,"noteIndex":22},"citationItems":[{"id":4712,"uris":["http://zotero.org/groups/791179/items/49JXBC9N"],"itemData":{"id":4712,"type":"article-journal","container-title":"Éire-Ireland (St. Paul)","DOI":"10.1353/eir.2020.0012","ISSN":"0013-2683","issue":"1","language":"eng","note":"publisher-place: MORRISTOWN\npublisher: Irish-American Cultural Institute","page":"279–298","source":"hollis.harvard.edu","title":"The Inner and Outer Limits of Gendered Transitional Justice","volume":"55","author":[{"family":"Ni Aolain","given":"Fionnuala"}],"issued":{"date-parts":[["2020"]]}},"locator":"280","label":"page"}],"schema":"https://github.com/citation-style-language/schema/raw/master/csl-citation.json"}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Fionnuala </w:t>
      </w:r>
      <w:r w:rsidR="00F020B6" w:rsidRPr="00E44DE1">
        <w:rPr>
          <w:rFonts w:ascii="Times New Roman" w:hAnsi="Times New Roman" w:cs="Times New Roman"/>
          <w:color w:val="000000" w:themeColor="text1"/>
          <w:sz w:val="22"/>
          <w:szCs w:val="22"/>
        </w:rPr>
        <w:t>Ní Aoláin</w:t>
      </w:r>
      <w:r w:rsidRPr="00E44DE1">
        <w:rPr>
          <w:rFonts w:ascii="Times New Roman" w:hAnsi="Times New Roman" w:cs="Times New Roman"/>
          <w:color w:val="000000" w:themeColor="text1"/>
          <w:sz w:val="22"/>
          <w:szCs w:val="22"/>
        </w:rPr>
        <w:t xml:space="preserve">, “The Inner and Outer Limits of Gendered Transitional Justice,” </w:t>
      </w:r>
      <w:r w:rsidRPr="00E44DE1">
        <w:rPr>
          <w:rFonts w:ascii="Times New Roman" w:hAnsi="Times New Roman" w:cs="Times New Roman"/>
          <w:i/>
          <w:iCs/>
          <w:color w:val="000000" w:themeColor="text1"/>
          <w:sz w:val="22"/>
          <w:szCs w:val="22"/>
        </w:rPr>
        <w:t>Éire-Ireland (St. Paul)</w:t>
      </w:r>
      <w:r w:rsidRPr="00E44DE1">
        <w:rPr>
          <w:rFonts w:ascii="Times New Roman" w:hAnsi="Times New Roman" w:cs="Times New Roman"/>
          <w:color w:val="000000" w:themeColor="text1"/>
          <w:sz w:val="22"/>
          <w:szCs w:val="22"/>
        </w:rPr>
        <w:t xml:space="preserve"> 55, no. 1 (2020): 280, </w:t>
      </w:r>
      <w:r w:rsidRPr="00E44DE1">
        <w:rPr>
          <w:rFonts w:ascii="Times New Roman" w:hAnsi="Times New Roman" w:cs="Times New Roman"/>
          <w:color w:val="000000" w:themeColor="text1"/>
          <w:sz w:val="22"/>
          <w:szCs w:val="22"/>
        </w:rPr>
        <w:fldChar w:fldCharType="end"/>
      </w:r>
    </w:p>
  </w:footnote>
  <w:footnote w:id="26">
    <w:p w14:paraId="43C8FDB7" w14:textId="6D06C1DE" w:rsidR="00DE44FD" w:rsidRPr="00E44DE1" w:rsidRDefault="00DE44FD">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{"citationID":"RrvjJ6qJ","properties":{"formattedCitation":"O\\uc0\\u8217{}Rourke, \\uc0\\u8220{}Transitional Justice and Gender.\\uc0\\u8221{}","plainCitation":"O’Rourke, “Transitional Justice and Gender.”","dontUpdate":true,"noteIndex":23},"citationItems":[{"id":9950,"uris":["http://zotero.org/groups/2727724/items/Z2S68FH8"],"itemData":{"id":9950,"type":"chapter","abstract":"The chapter provides an introduction and overview of key themes and dilemmas in gender scholarship and practice in transitional justice. The chapter begins by addressing preliminary definitional issues concerning ‘gender’, while also outlining the international normative and policy framework that guides the treatment of gender in transitional justice practice. The chapter identifies and outlines the following key themes of gender work in the field: the definition of ‘harm’ in transitional justice; addressing structural gender inequalities through transitional justice; the participation of women in processes and mechanisms; the place of men and masculinities; and practice to date in addressing violations experienced by sexual minorities. The chapter considers some of the enduring dilemmas in gender work in transitional justice, in particular the ongoing challenge of operationalising gender in practice, whether such efforts should be principally technical or transformative, and the gender implications of the mooted relationship of transitional justice to empire. The chapter concludes by emphasizing the importance of translating scholarly and policy developments into gender-equitable outcomes in transitional justice.Gender; harm; inequalities; masculinities; sexual minorities; empire","container-title":"Research Handbook on Transitional Justice","ISBN":"978-1-78195-531-4","language":"en_US","note":"section: Research Handbook on Transitional Justice","page":"117-141","publisher":"Edward Elgar Publishing","source":"www-elgaronline-com.ezp-prod1.hul.harvard.edu","title":"Transitional justice and gender","URL":"https://www.elgaronline.com/display/edcoll/9781781955307/9781781955307.00013.xml","author":[{"family":"O’Rourke","given":"Catherine"}],"accessed":{"date-parts":[["2023",3,3]]},"issued":{"date-parts":[["2017",6,30]]}}}],"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O’Rourke, “Transitional Justice and Gender</w:t>
      </w:r>
      <w:r w:rsidR="00854C51"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fldChar w:fldCharType="end"/>
      </w:r>
      <w:r w:rsidR="006913AA" w:rsidRPr="00E44DE1">
        <w:rPr>
          <w:rFonts w:ascii="Times New Roman" w:hAnsi="Times New Roman" w:cs="Times New Roman"/>
          <w:color w:val="000000" w:themeColor="text1"/>
          <w:sz w:val="22"/>
          <w:szCs w:val="22"/>
        </w:rPr>
        <w:t xml:space="preserve"> Ramona Vijeyarasa, “Women at the Margins of International Law: Reconceptualizing Dominant Discourses on Gender and Transitional Justice</w:t>
      </w:r>
      <w:r w:rsidR="00972985" w:rsidRPr="00E44DE1">
        <w:rPr>
          <w:rFonts w:ascii="Times New Roman" w:hAnsi="Times New Roman" w:cs="Times New Roman"/>
          <w:color w:val="000000" w:themeColor="text1"/>
          <w:sz w:val="22"/>
          <w:szCs w:val="22"/>
        </w:rPr>
        <w:t>,</w:t>
      </w:r>
      <w:r w:rsidR="006913AA" w:rsidRPr="00E44DE1">
        <w:rPr>
          <w:rFonts w:ascii="Times New Roman" w:hAnsi="Times New Roman" w:cs="Times New Roman"/>
          <w:color w:val="000000" w:themeColor="text1"/>
          <w:sz w:val="22"/>
          <w:szCs w:val="22"/>
        </w:rPr>
        <w:t xml:space="preserve">” </w:t>
      </w:r>
      <w:r w:rsidR="006913AA" w:rsidRPr="00E44DE1">
        <w:rPr>
          <w:rFonts w:ascii="Times New Roman" w:hAnsi="Times New Roman" w:cs="Times New Roman"/>
          <w:i/>
          <w:iCs/>
          <w:color w:val="000000" w:themeColor="text1"/>
          <w:sz w:val="22"/>
          <w:szCs w:val="22"/>
        </w:rPr>
        <w:t>International Journal of Transitional Justice</w:t>
      </w:r>
      <w:r w:rsidR="006913AA" w:rsidRPr="00E44DE1">
        <w:rPr>
          <w:rFonts w:ascii="Times New Roman" w:hAnsi="Times New Roman" w:cs="Times New Roman"/>
          <w:color w:val="000000" w:themeColor="text1"/>
          <w:sz w:val="22"/>
          <w:szCs w:val="22"/>
        </w:rPr>
        <w:t xml:space="preserve"> 7, no. 2 (July 2013): 358</w:t>
      </w:r>
      <w:r w:rsidR="000E1ED9" w:rsidRPr="00E44DE1">
        <w:rPr>
          <w:rFonts w:ascii="Times New Roman" w:hAnsi="Times New Roman" w:cs="Times New Roman"/>
          <w:color w:val="000000" w:themeColor="text1"/>
          <w:sz w:val="22"/>
          <w:szCs w:val="22"/>
        </w:rPr>
        <w:t>-3</w:t>
      </w:r>
      <w:r w:rsidR="006913AA" w:rsidRPr="00E44DE1">
        <w:rPr>
          <w:rFonts w:ascii="Times New Roman" w:hAnsi="Times New Roman" w:cs="Times New Roman"/>
          <w:color w:val="000000" w:themeColor="text1"/>
          <w:sz w:val="22"/>
          <w:szCs w:val="22"/>
        </w:rPr>
        <w:t>69.</w:t>
      </w:r>
    </w:p>
  </w:footnote>
  <w:footnote w:id="27">
    <w:p w14:paraId="74679B56" w14:textId="5AC976BC" w:rsidR="00C351DC" w:rsidRPr="00E44DE1" w:rsidRDefault="00C351DC" w:rsidP="00C351DC">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001E64C7" w:rsidRPr="00E44DE1">
        <w:rPr>
          <w:rFonts w:ascii="Times New Roman" w:hAnsi="Times New Roman" w:cs="Times New Roman"/>
          <w:color w:val="000000" w:themeColor="text1"/>
          <w:sz w:val="22"/>
          <w:szCs w:val="22"/>
        </w:rPr>
        <w:t xml:space="preserve">Ragnhild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{"citationID":"MY46mLuG","properties":{"formattedCitation":"Nord\\uc0\\u229{}s and Cohen, \\uc0\\u8220{}Conflict-Related Sexual Violence,\\uc0\\u8221{} 196.","plainCitation":"Nordås and Cohen, “Conflict-Related Sexual Violence,” 196.","dontUpdate":true,"noteIndex":24},"citationItems":[{"id":11059,"uris":["http://zotero.org/groups/2727724/items/ZL2685J9"],"itemData":{"id":11059,"type":"article-journal","abstract":"This article reviews the remarkable growth in empirical literature in political science on wartime sexual violence against civilians, including rape, sexual slavery, forced marriage, and other forms. Early work, motivated by ongoing conflicts in the former Yugoslavia and Rwanda, tended to portray these forms of violence as inevitable, ubiquitous, and either opportunistic or strategic. However, recent literature and new data sources have documented substantial variation in sexual violence across countries, conflicts, perpetrators, and victims and survivors. Building on this observed variation, scholars have developed and tested a wealth of theories about when, where, why, and under what conditions sexual violence occurs as well as its consequences. We highlight the core findings from the literature, explain the key debates among experts, and explore several avenues for future research. We conclude by detailing what the study of wartime sexual violence—both the findings and the research process—offers to a broader set of political science scholars.","container-title":"Annual Review of Political Science","DOI":"10.1146/annurev-polisci-041719-102620","issue":"1","page":"193-211","source":"Annual Reviews","title":"Conflict-Related Sexual Violence","volume":"24","author":[{"family":"Nordås","given":"Ragnhild"},{"family":"Cohen","given":"Dara Kay"}],"issued":{"date-parts":[["2021"]]}},"locator":"196","label":"page"}],"schema":"https://github.com/citation-style-language/schema/raw/master/csl-citation.json"}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Nordås and </w:t>
      </w:r>
      <w:r w:rsidR="001E64C7" w:rsidRPr="00E44DE1">
        <w:rPr>
          <w:rFonts w:ascii="Times New Roman" w:hAnsi="Times New Roman" w:cs="Times New Roman"/>
          <w:color w:val="000000" w:themeColor="text1"/>
          <w:sz w:val="22"/>
          <w:szCs w:val="22"/>
        </w:rPr>
        <w:t xml:space="preserve">Dara Kay </w:t>
      </w:r>
      <w:r w:rsidRPr="00E44DE1">
        <w:rPr>
          <w:rFonts w:ascii="Times New Roman" w:hAnsi="Times New Roman" w:cs="Times New Roman"/>
          <w:color w:val="000000" w:themeColor="text1"/>
          <w:sz w:val="22"/>
          <w:szCs w:val="22"/>
        </w:rPr>
        <w:t xml:space="preserve">Cohen, “Conflict-Related Sexual Violence,” </w:t>
      </w:r>
      <w:r w:rsidR="006D3A9E" w:rsidRPr="00E44DE1">
        <w:rPr>
          <w:rFonts w:ascii="Times New Roman" w:hAnsi="Times New Roman" w:cs="Times New Roman"/>
          <w:i/>
          <w:iCs/>
          <w:color w:val="000000" w:themeColor="text1"/>
          <w:sz w:val="22"/>
          <w:szCs w:val="22"/>
        </w:rPr>
        <w:t>Annual Review of Political Science</w:t>
      </w:r>
      <w:r w:rsidR="006D3A9E" w:rsidRPr="00E44DE1">
        <w:rPr>
          <w:rFonts w:ascii="Times New Roman" w:hAnsi="Times New Roman" w:cs="Times New Roman"/>
          <w:color w:val="000000" w:themeColor="text1"/>
          <w:sz w:val="22"/>
          <w:szCs w:val="22"/>
        </w:rPr>
        <w:t xml:space="preserve"> </w:t>
      </w:r>
      <w:r w:rsidR="004939F3" w:rsidRPr="00E44DE1">
        <w:rPr>
          <w:rFonts w:ascii="Times New Roman" w:hAnsi="Times New Roman" w:cs="Times New Roman"/>
          <w:color w:val="000000" w:themeColor="text1"/>
          <w:sz w:val="22"/>
          <w:szCs w:val="22"/>
        </w:rPr>
        <w:t>24 (</w:t>
      </w:r>
      <w:r w:rsidR="00C86D4A" w:rsidRPr="00E44DE1">
        <w:rPr>
          <w:rFonts w:ascii="Times New Roman" w:hAnsi="Times New Roman" w:cs="Times New Roman"/>
          <w:color w:val="000000" w:themeColor="text1"/>
          <w:sz w:val="22"/>
          <w:szCs w:val="22"/>
        </w:rPr>
        <w:t xml:space="preserve">2011): </w:t>
      </w:r>
      <w:r w:rsidRPr="00E44DE1">
        <w:rPr>
          <w:rFonts w:ascii="Times New Roman" w:hAnsi="Times New Roman" w:cs="Times New Roman"/>
          <w:color w:val="000000" w:themeColor="text1"/>
          <w:sz w:val="22"/>
          <w:szCs w:val="22"/>
        </w:rPr>
        <w:t>196</w:t>
      </w:r>
      <w:r w:rsidRPr="00E44DE1">
        <w:rPr>
          <w:rFonts w:ascii="Times New Roman" w:hAnsi="Times New Roman" w:cs="Times New Roman"/>
          <w:color w:val="000000" w:themeColor="text1"/>
          <w:sz w:val="22"/>
          <w:szCs w:val="22"/>
        </w:rPr>
        <w:fldChar w:fldCharType="end"/>
      </w:r>
      <w:r w:rsidR="00190EE3" w:rsidRPr="00E44DE1">
        <w:rPr>
          <w:rFonts w:ascii="Times New Roman" w:hAnsi="Times New Roman" w:cs="Times New Roman"/>
          <w:color w:val="000000" w:themeColor="text1"/>
          <w:sz w:val="22"/>
          <w:szCs w:val="22"/>
        </w:rPr>
        <w:t>;</w:t>
      </w:r>
      <w:r w:rsidR="006913AA" w:rsidRPr="00E44DE1">
        <w:rPr>
          <w:rFonts w:ascii="Times New Roman" w:hAnsi="Times New Roman" w:cs="Times New Roman"/>
          <w:color w:val="000000" w:themeColor="text1"/>
          <w:sz w:val="22"/>
          <w:szCs w:val="22"/>
        </w:rPr>
        <w:t xml:space="preserve">  Léa Lemay Langlois, “Gender Perspective in UN Framework for Peace Processes and Transitional Justice: The Need for a Clearer and More Inclusive Notion of Gender,” </w:t>
      </w:r>
      <w:r w:rsidR="006913AA" w:rsidRPr="00E44DE1">
        <w:rPr>
          <w:rFonts w:ascii="Times New Roman" w:hAnsi="Times New Roman" w:cs="Times New Roman"/>
          <w:i/>
          <w:iCs/>
          <w:color w:val="000000" w:themeColor="text1"/>
          <w:sz w:val="22"/>
          <w:szCs w:val="22"/>
        </w:rPr>
        <w:t>International Journal of Transitional Justice</w:t>
      </w:r>
      <w:r w:rsidR="006913AA" w:rsidRPr="00E44DE1">
        <w:rPr>
          <w:rFonts w:ascii="Times New Roman" w:hAnsi="Times New Roman" w:cs="Times New Roman"/>
          <w:color w:val="000000" w:themeColor="text1"/>
          <w:sz w:val="22"/>
          <w:szCs w:val="22"/>
        </w:rPr>
        <w:t xml:space="preserve"> 12, no. 1 (March 2018): 146–67</w:t>
      </w:r>
      <w:r w:rsidR="004F06EC" w:rsidRPr="00E44DE1">
        <w:rPr>
          <w:rFonts w:ascii="Times New Roman" w:hAnsi="Times New Roman" w:cs="Times New Roman"/>
          <w:color w:val="000000" w:themeColor="text1"/>
          <w:sz w:val="22"/>
          <w:szCs w:val="22"/>
        </w:rPr>
        <w:t>;</w:t>
      </w:r>
      <w:r w:rsidR="006913AA" w:rsidRPr="00E44DE1">
        <w:rPr>
          <w:rFonts w:ascii="Times New Roman" w:hAnsi="Times New Roman" w:cs="Times New Roman"/>
          <w:color w:val="000000" w:themeColor="text1"/>
          <w:sz w:val="22"/>
          <w:szCs w:val="22"/>
        </w:rPr>
        <w:t xml:space="preserve"> </w:t>
      </w:r>
      <w:r w:rsidR="006913AA"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{"citationID":"xFYAGvct","properties":{"formattedCitation":"O\\uc0\\u8217{}Rourke, \\uc0\\u8220{}Transitional Justice and Gender.\\uc0\\u8221{}","plainCitation":"O’Rourke, “Transitional Justice and Gender.”","dontUpdate":true,"noteIndex":24},"citationItems":[{"id":9950,"uris":["http://zotero.org/groups/2727724/items/Z2S68FH8"],"itemData":{"id":9950,"type":"chapter","abstract":"The chapter provides an introduction and overview of key themes and dilemmas in gender scholarship and practice in transitional justice. The chapter begins by addressing preliminary definitional issues concerning ‘gender’, while also outlining the international normative and policy framework that guides the treatment of gender in transitional justice practice. The chapter identifies and outlines the following key themes of gender work in the field: the definition of ‘harm’ in transitional justice; addressing structural gender inequalities through transitional justice; the participation of women in processes and mechanisms; the place of men and masculinities; and practice to date in addressing violations experienced by sexual minorities. The chapter considers some of the enduring dilemmas in gender work in transitional justice, in particular the ongoing challenge of operationalising gender in practice, whether such efforts should be principally technical or transformative, and the gender implications of the mooted relationship of transitional justice to empire. The chapter concludes by emphasizing the importance of translating scholarly and policy developments into gender-equitable outcomes in transitional justice.Gender; harm; inequalities; masculinities; sexual minorities; empire","container-title":"Research Handbook on Transitional Justice","ISBN":"978-1-78195-531-4","language":"en_US","note":"section: Research Handbook on Transitional Justice","page":"117-141","publisher":"Edward Elgar Publishing","source":"www-elgaronline-com.ezp-prod1.hul.harvard.edu","title":"Transitional justice and gender","URL":"https://www.elgaronline.com/display/edcoll/9781781955307/9781781955307.00013.xml","author":[{"family":"O’Rourke","given":"Catherine"}],"accessed":{"date-parts":[["2023",3,3]]},"issued":{"date-parts":[["2017",6,30]]}}}],"schema":"https://github.com/citation-style-language/schema/raw/master/csl-citation.json"} </w:instrText>
      </w:r>
      <w:r w:rsidR="006913AA" w:rsidRPr="00E44DE1">
        <w:rPr>
          <w:rFonts w:ascii="Times New Roman" w:hAnsi="Times New Roman" w:cs="Times New Roman"/>
          <w:color w:val="000000" w:themeColor="text1"/>
          <w:sz w:val="22"/>
          <w:szCs w:val="22"/>
        </w:rPr>
        <w:fldChar w:fldCharType="separate"/>
      </w:r>
      <w:r w:rsidR="006913AA" w:rsidRPr="00E44DE1">
        <w:rPr>
          <w:rFonts w:ascii="Times New Roman" w:hAnsi="Times New Roman" w:cs="Times New Roman"/>
          <w:color w:val="000000" w:themeColor="text1"/>
          <w:sz w:val="22"/>
          <w:szCs w:val="22"/>
        </w:rPr>
        <w:t>O’Rourke, “Transitional Justice and Gender</w:t>
      </w:r>
      <w:r w:rsidR="00322E9A" w:rsidRPr="00E44DE1">
        <w:rPr>
          <w:rFonts w:ascii="Times New Roman" w:hAnsi="Times New Roman" w:cs="Times New Roman"/>
          <w:color w:val="000000" w:themeColor="text1"/>
          <w:sz w:val="22"/>
          <w:szCs w:val="22"/>
        </w:rPr>
        <w:t>,</w:t>
      </w:r>
      <w:r w:rsidR="006913AA" w:rsidRPr="00E44DE1">
        <w:rPr>
          <w:rFonts w:ascii="Times New Roman" w:hAnsi="Times New Roman" w:cs="Times New Roman"/>
          <w:color w:val="000000" w:themeColor="text1"/>
          <w:sz w:val="22"/>
          <w:szCs w:val="22"/>
        </w:rPr>
        <w:t>”</w:t>
      </w:r>
      <w:r w:rsidR="006913AA" w:rsidRPr="00E44DE1">
        <w:rPr>
          <w:rFonts w:ascii="Times New Roman" w:hAnsi="Times New Roman" w:cs="Times New Roman"/>
          <w:color w:val="000000" w:themeColor="text1"/>
          <w:sz w:val="22"/>
          <w:szCs w:val="22"/>
        </w:rPr>
        <w:fldChar w:fldCharType="end"/>
      </w:r>
      <w:r w:rsidR="00322E9A" w:rsidRPr="00E44DE1">
        <w:rPr>
          <w:rFonts w:ascii="Times New Roman" w:hAnsi="Times New Roman" w:cs="Times New Roman"/>
          <w:color w:val="000000" w:themeColor="text1"/>
          <w:sz w:val="22"/>
          <w:szCs w:val="22"/>
        </w:rPr>
        <w:t xml:space="preserve"> </w:t>
      </w:r>
      <w:r w:rsidR="006913AA" w:rsidRPr="00E44DE1">
        <w:rPr>
          <w:rFonts w:ascii="Times New Roman" w:hAnsi="Times New Roman" w:cs="Times New Roman"/>
          <w:color w:val="000000" w:themeColor="text1"/>
          <w:sz w:val="22"/>
          <w:szCs w:val="22"/>
        </w:rPr>
        <w:t>18</w:t>
      </w:r>
      <w:r w:rsidR="00F451FD" w:rsidRPr="00E44DE1">
        <w:rPr>
          <w:rFonts w:ascii="Times New Roman" w:hAnsi="Times New Roman" w:cs="Times New Roman"/>
          <w:color w:val="000000" w:themeColor="text1"/>
          <w:sz w:val="22"/>
          <w:szCs w:val="22"/>
        </w:rPr>
        <w:t>,</w:t>
      </w:r>
      <w:r w:rsidR="00944C6E" w:rsidRPr="00E44DE1">
        <w:rPr>
          <w:rFonts w:ascii="Times New Roman" w:hAnsi="Times New Roman" w:cs="Times New Roman"/>
          <w:color w:val="000000" w:themeColor="text1"/>
          <w:sz w:val="22"/>
          <w:szCs w:val="22"/>
        </w:rPr>
        <w:t xml:space="preserve"> </w:t>
      </w:r>
      <w:r w:rsidR="00F451FD" w:rsidRPr="00E44DE1">
        <w:rPr>
          <w:rFonts w:ascii="Times New Roman" w:hAnsi="Times New Roman" w:cs="Times New Roman"/>
          <w:color w:val="000000" w:themeColor="text1"/>
          <w:sz w:val="22"/>
          <w:szCs w:val="22"/>
        </w:rPr>
        <w:t>20</w:t>
      </w:r>
      <w:r w:rsidR="006913AA" w:rsidRPr="00E44DE1">
        <w:rPr>
          <w:rFonts w:ascii="Times New Roman" w:hAnsi="Times New Roman" w:cs="Times New Roman"/>
          <w:color w:val="000000" w:themeColor="text1"/>
          <w:sz w:val="22"/>
          <w:szCs w:val="22"/>
        </w:rPr>
        <w:t xml:space="preserve">; </w:t>
      </w:r>
      <w:r w:rsidR="006913AA"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{"citationID":"wGDOKci3","properties":{"formattedCitation":"Brandon Hamber, \\uc0\\u8220{}Masculinity and Transitional Justice: An Exploratory Essay,\\uc0\\u8221{} {\\i{}The International Journal of Transitional Justice} 1, no. 3 (2007): 375\\uc0\\u8211{}90, https://doi.org/10.1093/ijtj/ijm037.","plainCitation":"Brandon Hamber, “Masculinity and Transitional Justice: An Exploratory Essay,” The International Journal of Transitional Justice 1, no. 3 (2007): 375–90, https://doi.org/10.1093/ijtj/ijm037.","dontUpdate":true,"noteIndex":24},"citationItems":[{"id":16022,"uris":["http://zotero.org/groups/2727724/items/4WRIKAV7","http://zotero.org/groups/2727724/items/B34IBR8N"],"itemData":{"id":16022,"type":"article-journal","abstract":"In recent years, there has been a growing focus on including women in transitional justice processes. Some scholars question whether transitional justice mechanisms take obstacles for women, such as ongoing domestic violence, into account. This article follows this line of inquiry using the prism of ongoing violence against women in South Africa. It focuses on masculinity, and questions the degree to which masculinity, and violent masculinities in particular, are considered in transitional justice studies. The article calls for a nuanced understanding of masculinities and their relationship to transitional justice, and sets parameters for a more concerted study of the subject.","container-title":"International Journal of Transitional Justice","DOI":"10.1093/ijtj/ijm037","ISSN":"1752-7716","issue":"3","journalAbbreviation":"International Journal of Transitional Justice","page":"375-390","source":"Silverchair","title":"Masculinity and Transitional Justice: An Exploratory Essay","title-short":"Masculinity and Transitional Justice","volume":"1","author":[{"family":"Hamber","given":"Brandon"}],"issued":{"date-parts":[["2007",12,1]]}}}],"schema":"https://github.com/citation-style-language/schema/raw/master/csl-citation.json"} </w:instrText>
      </w:r>
      <w:r w:rsidR="006913AA" w:rsidRPr="00E44DE1">
        <w:rPr>
          <w:rFonts w:ascii="Times New Roman" w:hAnsi="Times New Roman" w:cs="Times New Roman"/>
          <w:color w:val="000000" w:themeColor="text1"/>
          <w:sz w:val="22"/>
          <w:szCs w:val="22"/>
        </w:rPr>
        <w:fldChar w:fldCharType="separate"/>
      </w:r>
      <w:r w:rsidR="006913AA" w:rsidRPr="00E44DE1">
        <w:rPr>
          <w:rFonts w:ascii="Times New Roman" w:hAnsi="Times New Roman" w:cs="Times New Roman"/>
          <w:color w:val="000000" w:themeColor="text1"/>
          <w:sz w:val="22"/>
          <w:szCs w:val="22"/>
        </w:rPr>
        <w:t>Hamber, “Masculinity and Transitional Justice</w:t>
      </w:r>
      <w:r w:rsidR="003314FC" w:rsidRPr="00E44DE1">
        <w:rPr>
          <w:rFonts w:ascii="Times New Roman" w:hAnsi="Times New Roman" w:cs="Times New Roman"/>
          <w:color w:val="000000" w:themeColor="text1"/>
          <w:sz w:val="22"/>
          <w:szCs w:val="22"/>
        </w:rPr>
        <w:t>,</w:t>
      </w:r>
      <w:r w:rsidR="006913AA" w:rsidRPr="00E44DE1">
        <w:rPr>
          <w:rFonts w:ascii="Times New Roman" w:hAnsi="Times New Roman" w:cs="Times New Roman"/>
          <w:color w:val="000000" w:themeColor="text1"/>
          <w:sz w:val="22"/>
          <w:szCs w:val="22"/>
        </w:rPr>
        <w:t>” 375–90</w:t>
      </w:r>
      <w:r w:rsidR="006913AA" w:rsidRPr="00E44DE1">
        <w:rPr>
          <w:rFonts w:ascii="Times New Roman" w:hAnsi="Times New Roman" w:cs="Times New Roman"/>
          <w:color w:val="000000" w:themeColor="text1"/>
          <w:sz w:val="22"/>
          <w:szCs w:val="22"/>
        </w:rPr>
        <w:fldChar w:fldCharType="end"/>
      </w:r>
      <w:r w:rsidR="00956486" w:rsidRPr="00E44DE1">
        <w:rPr>
          <w:rFonts w:ascii="Times New Roman" w:hAnsi="Times New Roman" w:cs="Times New Roman"/>
          <w:color w:val="000000" w:themeColor="text1"/>
          <w:sz w:val="22"/>
          <w:szCs w:val="22"/>
        </w:rPr>
        <w:t>;</w:t>
      </w:r>
      <w:r w:rsidR="006913AA" w:rsidRPr="00E44DE1">
        <w:rPr>
          <w:rFonts w:ascii="Times New Roman" w:hAnsi="Times New Roman" w:cs="Times New Roman"/>
          <w:color w:val="000000" w:themeColor="text1"/>
          <w:sz w:val="22"/>
          <w:szCs w:val="22"/>
        </w:rPr>
        <w:t xml:space="preserve"> Brandon Hamber,</w:t>
      </w:r>
      <w:r w:rsidR="00561884" w:rsidRPr="00E44DE1">
        <w:rPr>
          <w:rFonts w:ascii="Times New Roman" w:hAnsi="Times New Roman" w:cs="Times New Roman"/>
          <w:color w:val="000000" w:themeColor="text1"/>
          <w:sz w:val="22"/>
          <w:szCs w:val="22"/>
        </w:rPr>
        <w:t xml:space="preserve"> </w:t>
      </w:r>
      <w:r w:rsidR="006913AA" w:rsidRPr="00E44DE1">
        <w:rPr>
          <w:rFonts w:ascii="Times New Roman" w:hAnsi="Times New Roman" w:cs="Times New Roman"/>
          <w:color w:val="000000" w:themeColor="text1"/>
          <w:sz w:val="22"/>
          <w:szCs w:val="22"/>
        </w:rPr>
        <w:t xml:space="preserve">“There Is a Crack in Everything: Problematising Masculinities, Peacebuilding and Transitional Justice,” </w:t>
      </w:r>
      <w:r w:rsidR="006913AA" w:rsidRPr="00E44DE1">
        <w:rPr>
          <w:rFonts w:ascii="Times New Roman" w:hAnsi="Times New Roman" w:cs="Times New Roman"/>
          <w:i/>
          <w:iCs/>
          <w:color w:val="000000" w:themeColor="text1"/>
          <w:sz w:val="22"/>
          <w:szCs w:val="22"/>
        </w:rPr>
        <w:t>Human Rights Review</w:t>
      </w:r>
      <w:r w:rsidR="006913AA" w:rsidRPr="00E44DE1">
        <w:rPr>
          <w:rFonts w:ascii="Times New Roman" w:hAnsi="Times New Roman" w:cs="Times New Roman"/>
          <w:color w:val="000000" w:themeColor="text1"/>
          <w:sz w:val="22"/>
          <w:szCs w:val="22"/>
        </w:rPr>
        <w:t xml:space="preserve"> 17, no. 1 (March 2016): 9–34</w:t>
      </w:r>
      <w:r w:rsidR="00561884" w:rsidRPr="00E44DE1">
        <w:rPr>
          <w:rFonts w:ascii="Times New Roman" w:hAnsi="Times New Roman" w:cs="Times New Roman"/>
          <w:color w:val="000000" w:themeColor="text1"/>
          <w:sz w:val="22"/>
          <w:szCs w:val="22"/>
        </w:rPr>
        <w:t>;</w:t>
      </w:r>
      <w:r w:rsidR="006913AA" w:rsidRPr="00E44DE1">
        <w:rPr>
          <w:rFonts w:ascii="Times New Roman" w:hAnsi="Times New Roman" w:cs="Times New Roman"/>
          <w:color w:val="000000" w:themeColor="text1"/>
          <w:sz w:val="22"/>
          <w:szCs w:val="22"/>
        </w:rPr>
        <w:t xml:space="preserve"> </w:t>
      </w:r>
      <w:r w:rsidR="006913AA"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{"citationID":"QLRznfm6","properties":{"formattedCitation":"R. CHARLI CARPENTER, \\uc0\\u8220{}Recognizing Gender-Based Violence Against Civilian Men and Boys in Conflict Situations,\\uc0\\u8221{} {\\i{}Security Dialogue} 37, no. 1 (2006): 83\\uc0\\u8211{}103, https://doi.org/10.1177/0967010606064139.","plainCitation":"R. CHARLI CARPENTER, “Recognizing Gender-Based Violence Against Civilian Men and Boys in Conflict Situations,” Security Dialogue 37, no. 1 (2006): 83–103, https://doi.org/10.1177/0967010606064139.","dontUpdate":true,"noteIndex":24},"citationItems":[{"id":13932,"uris":["http://zotero.org/groups/2727724/items/4TY7GATP"],"itemData":{"id":13932,"type":"article-journal","abstract":"While gender-based violence has recently emerged as a salient topic in the human security community, it has been framed principally with respect to violence against women and girls, particularly sexual violence. In this article, I argue that gender-based violence against men (including sexual violence, forced conscription, and sex-selective massacre) must be recognized as such, condemned, and addressed by civilian protection agencies and proponents of a 'human security' agenda in international relations. Men deserve protection against these abuses in their own right; moreover, addressing gender-based violence against women and girls in conflict situations is inseparable from addressing the forms of violence to which civilian men are specifically vulnerable.","container-title":"Security dialogue","DOI":"10.1177/0967010606064139","ISSN":"0967-0106","issue":"1","language":"eng","note":"publisher-place: Thousand Oaks, CA\npublisher: SAGE Publications","page":"83–103","source":"hollis.harvard.edu","title":"Recognizing Gender-Based Violence Against Civilian Men and Boys in Conflict Situations","volume":"37","author":[{"family":"CARPENTER","given":"R. CHARLI"}],"issued":{"date-parts":[["2006"]]}}}],"schema":"https://github.com/citation-style-language/schema/raw/master/csl-citation.json"} </w:instrText>
      </w:r>
      <w:r w:rsidR="006913AA" w:rsidRPr="00E44DE1">
        <w:rPr>
          <w:rFonts w:ascii="Times New Roman" w:hAnsi="Times New Roman" w:cs="Times New Roman"/>
          <w:color w:val="000000" w:themeColor="text1"/>
          <w:sz w:val="22"/>
          <w:szCs w:val="22"/>
        </w:rPr>
        <w:fldChar w:fldCharType="separate"/>
      </w:r>
      <w:r w:rsidR="006913AA" w:rsidRPr="00E44DE1">
        <w:rPr>
          <w:rFonts w:ascii="Times New Roman" w:hAnsi="Times New Roman" w:cs="Times New Roman"/>
          <w:color w:val="000000" w:themeColor="text1"/>
          <w:sz w:val="22"/>
          <w:szCs w:val="22"/>
        </w:rPr>
        <w:t>C</w:t>
      </w:r>
      <w:r w:rsidR="00EF3ECF" w:rsidRPr="00E44DE1">
        <w:rPr>
          <w:rFonts w:ascii="Times New Roman" w:hAnsi="Times New Roman" w:cs="Times New Roman"/>
          <w:color w:val="000000" w:themeColor="text1"/>
          <w:sz w:val="22"/>
          <w:szCs w:val="22"/>
        </w:rPr>
        <w:t>harli Carpenter</w:t>
      </w:r>
      <w:r w:rsidR="006913AA" w:rsidRPr="00E44DE1">
        <w:rPr>
          <w:rFonts w:ascii="Times New Roman" w:hAnsi="Times New Roman" w:cs="Times New Roman"/>
          <w:color w:val="000000" w:themeColor="text1"/>
          <w:sz w:val="22"/>
          <w:szCs w:val="22"/>
        </w:rPr>
        <w:t xml:space="preserve">, “Recognizing Gender-Based Violence Against Civilian Men and Boys in Conflict Situations,” </w:t>
      </w:r>
      <w:r w:rsidR="006913AA" w:rsidRPr="00E44DE1">
        <w:rPr>
          <w:rFonts w:ascii="Times New Roman" w:hAnsi="Times New Roman" w:cs="Times New Roman"/>
          <w:i/>
          <w:iCs/>
          <w:color w:val="000000" w:themeColor="text1"/>
          <w:sz w:val="22"/>
          <w:szCs w:val="22"/>
        </w:rPr>
        <w:t>Security Dialogue</w:t>
      </w:r>
      <w:r w:rsidR="006913AA" w:rsidRPr="00E44DE1">
        <w:rPr>
          <w:rFonts w:ascii="Times New Roman" w:hAnsi="Times New Roman" w:cs="Times New Roman"/>
          <w:color w:val="000000" w:themeColor="text1"/>
          <w:sz w:val="22"/>
          <w:szCs w:val="22"/>
        </w:rPr>
        <w:t xml:space="preserve"> 37, no. 1 (2006): 83–103</w:t>
      </w:r>
      <w:r w:rsidR="006913AA" w:rsidRPr="00E44DE1">
        <w:rPr>
          <w:rFonts w:ascii="Times New Roman" w:hAnsi="Times New Roman" w:cs="Times New Roman"/>
          <w:color w:val="000000" w:themeColor="text1"/>
          <w:sz w:val="22"/>
          <w:szCs w:val="22"/>
        </w:rPr>
        <w:fldChar w:fldCharType="end"/>
      </w:r>
      <w:r w:rsidR="00706D79" w:rsidRPr="00E44DE1">
        <w:rPr>
          <w:rFonts w:ascii="Times New Roman" w:hAnsi="Times New Roman" w:cs="Times New Roman"/>
          <w:color w:val="000000" w:themeColor="text1"/>
          <w:sz w:val="22"/>
          <w:szCs w:val="22"/>
        </w:rPr>
        <w:t xml:space="preserve">; </w:t>
      </w:r>
      <w:r w:rsidR="006913AA"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{"citationID":"Kne0Gaty","properties":{"formattedCitation":"R. Charli Carpenter, \\uc0\\u8220{}\\uc0\\u8216{}Women and Children First\\uc0\\u8217{}: Gender, Norms, and Humanitarian Evacuation in the Balkans 1991\\uc0\\u8211{}95,\\uc0\\u8221{} {\\i{}International Organization} 57, no. 4 (2003): 661\\uc0\\u8211{}94, https://doi.org/10.1017/S002081830357401X.","plainCitation":"R. Charli Carpenter, “‘Women and Children First’: Gender, Norms, and Humanitarian Evacuation in the Balkans 1991–95,” International Organization 57, no. 4 (2003): 661–94, https://doi.org/10.1017/S002081830357401X.","dontUpdate":true,"noteIndex":24},"citationItems":[{"id":13931,"uris":["http://zotero.org/groups/2727724/items/MBYGFQLM"],"itemData":{"id":13931,"type":"article-journal","abstract":"Of all noncombatants in the former Yugoslavia, adult civilian men were most likely to be massacred by enemy forces. Why, therefore, did international agencies mandated with the “protection of civilians” evacuate women and children, but not military-age men, from besieged areas? This article reviews the operational dilemmas faced by protection workers in the former Yugoslavia when negotiating access to civilian populations. I argue that a social constructivist approach incorporating gender analysis is required to explain both the civilian protection community's discourse and its operational behavior. First, gender beliefs constitute the discursive strategies on which civilian protection advocacy is based. Second, gender norms operate in practice to constrain the options available to protection workers in assisting civilians. These two causal pathways converged in the former Yugoslavia to produce effects disastrous to civilians, particularly adult men and male adolescents.","container-title":"International organization","DOI":"10.1017/S002081830357401X","ISSN":"0020-8183","issue":"4","language":"eng","note":"publisher-place: New York, USA\npublisher: Cambridge University Press","page":"661–694","source":"hollis.harvard.edu","title":"‘Women and Children First’: Gender, Norms, and Humanitarian Evacuation in the Balkans 1991–95","title-short":"‘Women and Children First’","volume":"57","author":[{"family":"Carpenter","given":"R. Charli"}],"issued":{"date-parts":[["2003"]]}}}],"schema":"https://github.com/citation-style-language/schema/raw/master/csl-citation.json"} </w:instrText>
      </w:r>
      <w:r w:rsidR="006913AA" w:rsidRPr="00E44DE1">
        <w:rPr>
          <w:rFonts w:ascii="Times New Roman" w:hAnsi="Times New Roman" w:cs="Times New Roman"/>
          <w:color w:val="000000" w:themeColor="text1"/>
          <w:sz w:val="22"/>
          <w:szCs w:val="22"/>
        </w:rPr>
        <w:fldChar w:fldCharType="separate"/>
      </w:r>
      <w:r w:rsidR="006913AA" w:rsidRPr="00E44DE1">
        <w:rPr>
          <w:rFonts w:ascii="Times New Roman" w:hAnsi="Times New Roman" w:cs="Times New Roman"/>
          <w:color w:val="000000" w:themeColor="text1"/>
          <w:sz w:val="22"/>
          <w:szCs w:val="22"/>
        </w:rPr>
        <w:t>Charli Carpenter,</w:t>
      </w:r>
      <w:r w:rsidR="00806C10" w:rsidRPr="00E44DE1">
        <w:rPr>
          <w:rFonts w:ascii="Times New Roman" w:hAnsi="Times New Roman" w:cs="Times New Roman"/>
          <w:color w:val="000000" w:themeColor="text1"/>
          <w:sz w:val="22"/>
          <w:szCs w:val="22"/>
        </w:rPr>
        <w:t xml:space="preserve"> </w:t>
      </w:r>
      <w:r w:rsidR="006913AA" w:rsidRPr="00E44DE1">
        <w:rPr>
          <w:rFonts w:ascii="Times New Roman" w:hAnsi="Times New Roman" w:cs="Times New Roman"/>
          <w:color w:val="000000" w:themeColor="text1"/>
          <w:sz w:val="22"/>
          <w:szCs w:val="22"/>
        </w:rPr>
        <w:t xml:space="preserve">“‘Women and Children First’: Gender, Norms, and Humanitarian Evacuation in the Balkans 1991–95,” </w:t>
      </w:r>
      <w:r w:rsidR="006913AA" w:rsidRPr="00E44DE1">
        <w:rPr>
          <w:rFonts w:ascii="Times New Roman" w:hAnsi="Times New Roman" w:cs="Times New Roman"/>
          <w:i/>
          <w:iCs/>
          <w:color w:val="000000" w:themeColor="text1"/>
          <w:sz w:val="22"/>
          <w:szCs w:val="22"/>
        </w:rPr>
        <w:t>International Organization</w:t>
      </w:r>
      <w:r w:rsidR="006913AA" w:rsidRPr="00E44DE1">
        <w:rPr>
          <w:rFonts w:ascii="Times New Roman" w:hAnsi="Times New Roman" w:cs="Times New Roman"/>
          <w:color w:val="000000" w:themeColor="text1"/>
          <w:sz w:val="22"/>
          <w:szCs w:val="22"/>
        </w:rPr>
        <w:t xml:space="preserve"> 57, no. 4 (2003): 661–94</w:t>
      </w:r>
      <w:r w:rsidR="006913AA" w:rsidRPr="00E44DE1">
        <w:rPr>
          <w:rFonts w:ascii="Times New Roman" w:hAnsi="Times New Roman" w:cs="Times New Roman"/>
          <w:color w:val="000000" w:themeColor="text1"/>
          <w:sz w:val="22"/>
          <w:szCs w:val="22"/>
        </w:rPr>
        <w:fldChar w:fldCharType="end"/>
      </w:r>
      <w:r w:rsidR="00806C10" w:rsidRPr="00E44DE1">
        <w:rPr>
          <w:rFonts w:ascii="Times New Roman" w:hAnsi="Times New Roman" w:cs="Times New Roman"/>
          <w:color w:val="000000" w:themeColor="text1"/>
          <w:sz w:val="22"/>
          <w:szCs w:val="22"/>
        </w:rPr>
        <w:t>;</w:t>
      </w:r>
      <w:r w:rsidR="006913AA" w:rsidRPr="00E44DE1">
        <w:rPr>
          <w:rFonts w:ascii="Times New Roman" w:hAnsi="Times New Roman" w:cs="Times New Roman"/>
          <w:color w:val="000000" w:themeColor="text1"/>
          <w:sz w:val="22"/>
          <w:szCs w:val="22"/>
        </w:rPr>
        <w:t xml:space="preserve"> </w:t>
      </w:r>
      <w:r w:rsidR="00BD30FE" w:rsidRPr="00E44DE1">
        <w:rPr>
          <w:rFonts w:ascii="Times New Roman" w:hAnsi="Times New Roman" w:cs="Times New Roman"/>
          <w:color w:val="000000" w:themeColor="text1"/>
          <w:sz w:val="22"/>
          <w:szCs w:val="22"/>
        </w:rPr>
        <w:t xml:space="preserve">Meredith </w:t>
      </w:r>
      <w:r w:rsidR="006913AA"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{"citationID":"Eqwy2HkB","properties":{"formattedCitation":"Loken and Hagen, \\uc0\\u8220{}Queering Gender-Based Violence Scholarship.\\uc0\\u8221{}","plainCitation":"Loken and Hagen, “Queering Gender-Based Violence Scholarship.”","dontUpdate":true,"noteIndex":24},"citationItems":[{"id":13131,"uris":["http://zotero.org/groups/2727724/items/QTA42DXB"],"itemData":{"id":13131,"type":"article-journal","abstract":"Research on armed conflict's gender dynamics has expanded significantly in the past decade. However, research in this field pays little attention to sexual orientation and gender identity. Moreover, where scholarship focused on violence against sexual and gender minority (SGM) individuals during war exists, it is largely divorced from work on gender-based violence (GBV) in conflict-related environments and from sexuality studies. In this article, we integrate these bodies of work and argue for the theoretical expansion of GBV as a conceptual, empirical, and analytic category to study and explain targeted attacks against lesbian, gay, bisexual, transgender, and otherwise queer individuals. We suggest two theoretical interventions to better equip existing GBV frameworks to explain violence perpetrated against SGM people. We argue, first, that violence targeting SGM communities is GBV, as sexuality and gender identity are integral components of gender, and second, that analyzing gender dynamics adds to our understanding of when, how, and why targeting SGM individuals composes part of an organization's regulatory \"repertoire of violence.\" We examine violence in Colombia's civil war as an illustrative application of our approach and we identify future, fruitful research avenues with important policy implications for studying and responding to GBV during war.","container-title":"INTERNATIONAL STUDIES REVIEW","DOI":"10.1093/isr/viac050","ISSN":"1521-9488","issue":"4","language":"eng","note":"publisher-place: OXFORD\npublisher: Oxford Univ Press","source":"hollis.harvard.edu","title":"Queering Gender-Based Violence Scholarship: An Integrated Research Agenda","title-short":"Queering Gender-Based Violence Scholarship","volume":"24","author":[{"family":"Loken","given":"Meredith"},{"family":"Hagen","given":"Jamie J."}],"issued":{"date-parts":[["2022"]]}}}],"schema":"https://github.com/citation-style-language/schema/raw/master/csl-citation.json"} </w:instrText>
      </w:r>
      <w:r w:rsidR="006913AA" w:rsidRPr="00E44DE1">
        <w:rPr>
          <w:rFonts w:ascii="Times New Roman" w:hAnsi="Times New Roman" w:cs="Times New Roman"/>
          <w:color w:val="000000" w:themeColor="text1"/>
          <w:sz w:val="22"/>
          <w:szCs w:val="22"/>
        </w:rPr>
        <w:fldChar w:fldCharType="separate"/>
      </w:r>
      <w:r w:rsidR="006913AA" w:rsidRPr="00E44DE1">
        <w:rPr>
          <w:rFonts w:ascii="Times New Roman" w:hAnsi="Times New Roman" w:cs="Times New Roman"/>
          <w:color w:val="000000" w:themeColor="text1"/>
          <w:sz w:val="22"/>
          <w:szCs w:val="22"/>
        </w:rPr>
        <w:t xml:space="preserve">Loken and </w:t>
      </w:r>
      <w:r w:rsidR="00977B39" w:rsidRPr="00E44DE1">
        <w:rPr>
          <w:rFonts w:ascii="Times New Roman" w:hAnsi="Times New Roman" w:cs="Times New Roman"/>
          <w:color w:val="000000" w:themeColor="text1"/>
          <w:sz w:val="22"/>
          <w:szCs w:val="22"/>
        </w:rPr>
        <w:t xml:space="preserve">Jamie J </w:t>
      </w:r>
      <w:r w:rsidR="006913AA" w:rsidRPr="00E44DE1">
        <w:rPr>
          <w:rFonts w:ascii="Times New Roman" w:hAnsi="Times New Roman" w:cs="Times New Roman"/>
          <w:color w:val="000000" w:themeColor="text1"/>
          <w:sz w:val="22"/>
          <w:szCs w:val="22"/>
        </w:rPr>
        <w:t>Hagen, “Queering Gender-Based Violence Scholarship</w:t>
      </w:r>
      <w:r w:rsidR="000F7853" w:rsidRPr="00E44DE1">
        <w:rPr>
          <w:rFonts w:ascii="Times New Roman" w:hAnsi="Times New Roman" w:cs="Times New Roman"/>
          <w:color w:val="000000" w:themeColor="text1"/>
          <w:sz w:val="22"/>
          <w:szCs w:val="22"/>
        </w:rPr>
        <w:t>: An Integrated Research Agenda,</w:t>
      </w:r>
      <w:r w:rsidR="006913AA" w:rsidRPr="00E44DE1">
        <w:rPr>
          <w:rFonts w:ascii="Times New Roman" w:hAnsi="Times New Roman" w:cs="Times New Roman"/>
          <w:color w:val="000000" w:themeColor="text1"/>
          <w:sz w:val="22"/>
          <w:szCs w:val="22"/>
        </w:rPr>
        <w:t>”</w:t>
      </w:r>
      <w:r w:rsidR="006913AA" w:rsidRPr="00E44DE1">
        <w:rPr>
          <w:rFonts w:ascii="Times New Roman" w:hAnsi="Times New Roman" w:cs="Times New Roman"/>
          <w:color w:val="000000" w:themeColor="text1"/>
          <w:sz w:val="22"/>
          <w:szCs w:val="22"/>
        </w:rPr>
        <w:fldChar w:fldCharType="end"/>
      </w:r>
      <w:r w:rsidR="00B55AB4" w:rsidRPr="00E44DE1">
        <w:rPr>
          <w:rFonts w:ascii="Times New Roman" w:hAnsi="Times New Roman" w:cs="Times New Roman"/>
          <w:color w:val="000000" w:themeColor="text1"/>
          <w:sz w:val="22"/>
          <w:szCs w:val="22"/>
        </w:rPr>
        <w:t xml:space="preserve"> </w:t>
      </w:r>
      <w:r w:rsidR="00B55AB4" w:rsidRPr="00E44DE1">
        <w:rPr>
          <w:rFonts w:ascii="Times New Roman" w:hAnsi="Times New Roman" w:cs="Times New Roman"/>
          <w:i/>
          <w:iCs/>
          <w:color w:val="000000" w:themeColor="text1"/>
          <w:sz w:val="22"/>
          <w:szCs w:val="22"/>
        </w:rPr>
        <w:t xml:space="preserve">International Studies </w:t>
      </w:r>
      <w:r w:rsidR="00B55AB4" w:rsidRPr="00E44DE1">
        <w:rPr>
          <w:rFonts w:ascii="Times New Roman" w:hAnsi="Times New Roman" w:cs="Times New Roman"/>
          <w:color w:val="000000" w:themeColor="text1"/>
          <w:sz w:val="22"/>
          <w:szCs w:val="22"/>
        </w:rPr>
        <w:t xml:space="preserve">Reivew </w:t>
      </w:r>
      <w:r w:rsidR="00DE7B62" w:rsidRPr="00E44DE1">
        <w:rPr>
          <w:rFonts w:ascii="Times New Roman" w:hAnsi="Times New Roman" w:cs="Times New Roman"/>
          <w:color w:val="000000" w:themeColor="text1"/>
          <w:sz w:val="22"/>
          <w:szCs w:val="22"/>
        </w:rPr>
        <w:t>24, no. 4 (</w:t>
      </w:r>
      <w:r w:rsidR="00EE3FD8" w:rsidRPr="00E44DE1">
        <w:rPr>
          <w:rFonts w:ascii="Times New Roman" w:hAnsi="Times New Roman" w:cs="Times New Roman"/>
          <w:color w:val="000000" w:themeColor="text1"/>
          <w:sz w:val="22"/>
          <w:szCs w:val="22"/>
        </w:rPr>
        <w:t>November 2022)</w:t>
      </w:r>
      <w:r w:rsidR="00AB458D" w:rsidRPr="00E44DE1">
        <w:rPr>
          <w:rFonts w:ascii="Times New Roman" w:hAnsi="Times New Roman" w:cs="Times New Roman"/>
          <w:color w:val="000000" w:themeColor="text1"/>
          <w:sz w:val="22"/>
          <w:szCs w:val="22"/>
        </w:rPr>
        <w:t>:</w:t>
      </w:r>
      <w:r w:rsidR="006913AA" w:rsidRPr="00E44DE1">
        <w:rPr>
          <w:rFonts w:ascii="Times New Roman" w:hAnsi="Times New Roman" w:cs="Times New Roman"/>
          <w:color w:val="000000" w:themeColor="text1"/>
          <w:sz w:val="22"/>
          <w:szCs w:val="22"/>
        </w:rPr>
        <w:t xml:space="preserve"> 1.</w:t>
      </w:r>
    </w:p>
  </w:footnote>
  <w:footnote w:id="28">
    <w:p w14:paraId="0A022C8A" w14:textId="22B47F90" w:rsidR="00F451FD" w:rsidRPr="00E44DE1" w:rsidRDefault="00F451FD" w:rsidP="00F451FD">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{"citationID":"FKr9FowN","properties":{"formattedCitation":"Pascha Bueno-Hansen, \\uc0\\u8220{}The Emerging LGBTI Rights Challenge to Transitional Justice in Latin America,\\uc0\\u8221{} {\\i{}International Journal of Transitional Justice} 12, no. 1 (March 1, 2018): 126\\uc0\\u8211{}45, https://doi.org/10.1093/ijtj/ijx031.","plainCitation":"Pascha Bueno-Hansen, “The Emerging LGBTI Rights Challenge to Transitional Justice in Latin America,” International Journal of Transitional Justice 12, no. 1 (March 1, 2018): 126–45, https://doi.org/10.1093/ijtj/ijx031.","dontUpdate":true,"noteIndex":25},"citationItems":[{"id":14952,"uris":["http://zotero.org/groups/2727724/items/TUN8Y54J"],"itemData":{"id":14952,"type":"article-journal","container-title":"International Journal of Transitional Justice","DOI":"10.1093/ijtj/ijx031","ISSN":"1752-7716, 1752-7724","issue":"1","language":"en","page":"126-145","source":"DOI.org (Crossref)","title":"The Emerging LGBTI Rights Challenge to Transitional Justice in Latin America","volume":"12","author":[{"family":"Bueno-Hansen","given":"Pascha"}],"issued":{"date-parts":[["2018",3,1]]}}}],"schema":"https://github.com/citation-style-language/schema/raw/master/csl-citation.json"}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Pascha Bueno-Hansen, “The Emerging LGBTI Rights Challenge to Transitional Justice in Latin America,” </w:t>
      </w:r>
      <w:r w:rsidRPr="00E44DE1">
        <w:rPr>
          <w:rFonts w:ascii="Times New Roman" w:hAnsi="Times New Roman" w:cs="Times New Roman"/>
          <w:i/>
          <w:iCs/>
          <w:color w:val="000000" w:themeColor="text1"/>
          <w:sz w:val="22"/>
          <w:szCs w:val="22"/>
        </w:rPr>
        <w:t>International Journal of Transitional Justice</w:t>
      </w:r>
      <w:r w:rsidRPr="00E44DE1">
        <w:rPr>
          <w:rFonts w:ascii="Times New Roman" w:hAnsi="Times New Roman" w:cs="Times New Roman"/>
          <w:color w:val="000000" w:themeColor="text1"/>
          <w:sz w:val="22"/>
          <w:szCs w:val="22"/>
        </w:rPr>
        <w:t xml:space="preserve"> 12, no. 1 (March 2018): 126–45</w:t>
      </w:r>
      <w:r w:rsidR="00A95CEA"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end"/>
      </w:r>
      <w:r w:rsidRPr="00E44DE1">
        <w:rPr>
          <w:rFonts w:ascii="Times New Roman" w:hAnsi="Times New Roman" w:cs="Times New Roman"/>
          <w:color w:val="000000" w:themeColor="text1"/>
          <w:sz w:val="22"/>
          <w:szCs w:val="22"/>
        </w:rPr>
        <w:t>Fidelma Ashe</w:t>
      </w:r>
      <w:r w:rsidR="00D8037F"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“Sexuality and Gender Identity in Transitional Societies: Peacebuilding and Counterhegemonic Politics</w:t>
      </w:r>
      <w:r w:rsidR="00D8037F"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i/>
          <w:iCs/>
          <w:color w:val="000000" w:themeColor="text1"/>
          <w:sz w:val="22"/>
          <w:szCs w:val="22"/>
        </w:rPr>
        <w:t>International Journal of Transitional Justice</w:t>
      </w:r>
      <w:r w:rsidRPr="00E44DE1">
        <w:rPr>
          <w:rFonts w:ascii="Times New Roman" w:hAnsi="Times New Roman" w:cs="Times New Roman"/>
          <w:color w:val="000000" w:themeColor="text1"/>
          <w:sz w:val="22"/>
          <w:szCs w:val="22"/>
        </w:rPr>
        <w:t xml:space="preserve"> 13, no. 3 (November 2019): 435–57.</w:t>
      </w:r>
    </w:p>
  </w:footnote>
  <w:footnote w:id="29">
    <w:p w14:paraId="21980A5A" w14:textId="16619060" w:rsidR="002B01DA" w:rsidRPr="00E44DE1" w:rsidRDefault="002B01DA" w:rsidP="002B01DA">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00D616D3" w:rsidRPr="00E44DE1">
        <w:rPr>
          <w:rFonts w:ascii="Times New Roman" w:hAnsi="Times New Roman" w:cs="Times New Roman"/>
          <w:color w:val="000000" w:themeColor="text1"/>
          <w:sz w:val="22"/>
          <w:szCs w:val="22"/>
        </w:rPr>
        <w:t>Ní Aoláin</w:t>
      </w:r>
      <w:r w:rsidRPr="00E44DE1">
        <w:rPr>
          <w:rFonts w:ascii="Times New Roman" w:hAnsi="Times New Roman" w:cs="Times New Roman"/>
          <w:color w:val="000000" w:themeColor="text1"/>
          <w:sz w:val="22"/>
          <w:szCs w:val="22"/>
        </w:rPr>
        <w:t>, “The Inner and Outer Limits of Gendered Transitional Justice”</w:t>
      </w:r>
      <w:r w:rsidR="00D305B8" w:rsidRPr="00E44DE1">
        <w:rPr>
          <w:rFonts w:ascii="Times New Roman" w:hAnsi="Times New Roman" w:cs="Times New Roman"/>
          <w:color w:val="000000" w:themeColor="text1"/>
          <w:sz w:val="22"/>
          <w:szCs w:val="22"/>
        </w:rPr>
        <w:t>;</w:t>
      </w:r>
      <w:r w:rsidR="00F451FD" w:rsidRPr="00E44DE1">
        <w:rPr>
          <w:rFonts w:ascii="Times New Roman" w:hAnsi="Times New Roman" w:cs="Times New Roman"/>
          <w:color w:val="000000" w:themeColor="text1"/>
          <w:sz w:val="22"/>
          <w:szCs w:val="22"/>
        </w:rPr>
        <w:t xml:space="preserve"> </w:t>
      </w:r>
      <w:r w:rsidR="00363D16" w:rsidRPr="00E44DE1">
        <w:rPr>
          <w:rFonts w:ascii="Times New Roman" w:hAnsi="Times New Roman" w:cs="Times New Roman"/>
          <w:color w:val="000000" w:themeColor="text1"/>
          <w:sz w:val="22"/>
          <w:szCs w:val="22"/>
        </w:rPr>
        <w:t>Vijeyarasa</w:t>
      </w:r>
      <w:r w:rsidR="00F451FD" w:rsidRPr="00E44DE1">
        <w:rPr>
          <w:rFonts w:ascii="Times New Roman" w:hAnsi="Times New Roman" w:cs="Times New Roman"/>
          <w:color w:val="000000" w:themeColor="text1"/>
          <w:sz w:val="22"/>
          <w:szCs w:val="22"/>
        </w:rPr>
        <w:t>, “Women at the Margins of International Law</w:t>
      </w:r>
      <w:r w:rsidR="004E483A" w:rsidRPr="00E44DE1">
        <w:rPr>
          <w:rFonts w:ascii="Times New Roman" w:hAnsi="Times New Roman" w:cs="Times New Roman"/>
          <w:color w:val="000000" w:themeColor="text1"/>
          <w:sz w:val="22"/>
          <w:szCs w:val="22"/>
        </w:rPr>
        <w:t>,</w:t>
      </w:r>
      <w:r w:rsidR="00F451FD" w:rsidRPr="00E44DE1">
        <w:rPr>
          <w:rFonts w:ascii="Times New Roman" w:hAnsi="Times New Roman" w:cs="Times New Roman"/>
          <w:color w:val="000000" w:themeColor="text1"/>
          <w:sz w:val="22"/>
          <w:szCs w:val="22"/>
        </w:rPr>
        <w:t>” 358–69</w:t>
      </w:r>
      <w:r w:rsidR="009E20B2" w:rsidRPr="00E44DE1">
        <w:rPr>
          <w:rFonts w:ascii="Times New Roman" w:hAnsi="Times New Roman" w:cs="Times New Roman"/>
          <w:color w:val="000000" w:themeColor="text1"/>
          <w:sz w:val="22"/>
          <w:szCs w:val="22"/>
        </w:rPr>
        <w:t>;</w:t>
      </w:r>
      <w:r w:rsidR="00F451FD" w:rsidRPr="00E44DE1">
        <w:rPr>
          <w:rFonts w:ascii="Times New Roman" w:hAnsi="Times New Roman" w:cs="Times New Roman"/>
          <w:color w:val="000000" w:themeColor="text1"/>
          <w:sz w:val="22"/>
          <w:szCs w:val="22"/>
        </w:rPr>
        <w:t xml:space="preserve"> </w:t>
      </w:r>
      <w:r w:rsidR="00F451FD"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{"citationID":"goox5sPk","properties":{"formattedCitation":"Nesiah, \\uc0\\u8220{}Missionary Zeal for a Secular Mission\\uc0\\u8239{}: Bringing Gender to Transitional Justice and Redemption to Feminism.\\uc0\\u8221{}","plainCitation":"Nesiah, “Missionary Zeal for a Secular Mission : Bringing Gender to Transitional Justice and Redemption to Feminism.”","dontUpdate":true,"noteIndex":26},"citationItems":[{"id":9946,"uris":["http://zotero.org/groups/2727724/items/HKN2V4XV"],"itemData":{"id":9946,"type":"chapter","container-title":"Feminist Perspectives on Contemporary International Law : Between Resistance and Compliance?","ISBN":"978-1-84946-658-5","note":"DOI: 10.5040/9781474201896","page":"137-157","publisher":"Hart Publishing","source":"DOI.org (Crossref)","title":"Missionary Zeal for a Secular Mission : Bringing Gender to Transitional Justice and Redemption to Feminism","URL":"http://www.bloomsburycollections.com/book/feminist-perspectives-on-contemporary-international-law-between-resistance-and-compliance-1","author":[{"family":"Nesiah","given":"Vasuki"}],"editor":[{"family":"Kouvo","given":"Sari"},{"family":"Pearson","given":"Zoe"}],"accessed":{"date-parts":[["2023",3,3]]},"issued":{"date-parts":[["2014"]]}}}],"schema":"https://github.com/citation-style-language/schema/raw/master/csl-citation.json"} </w:instrText>
      </w:r>
      <w:r w:rsidR="00F451FD" w:rsidRPr="00E44DE1">
        <w:rPr>
          <w:rFonts w:ascii="Times New Roman" w:hAnsi="Times New Roman" w:cs="Times New Roman"/>
          <w:color w:val="000000" w:themeColor="text1"/>
          <w:sz w:val="22"/>
          <w:szCs w:val="22"/>
        </w:rPr>
        <w:fldChar w:fldCharType="separate"/>
      </w:r>
      <w:r w:rsidR="00F451FD" w:rsidRPr="00E44DE1">
        <w:rPr>
          <w:rFonts w:ascii="Times New Roman" w:hAnsi="Times New Roman" w:cs="Times New Roman"/>
          <w:color w:val="000000" w:themeColor="text1"/>
          <w:sz w:val="22"/>
          <w:szCs w:val="22"/>
        </w:rPr>
        <w:t>Nesiah, “Missionary Zeal for a Secular Mission</w:t>
      </w:r>
      <w:r w:rsidR="006176AD" w:rsidRPr="00E44DE1">
        <w:rPr>
          <w:rFonts w:ascii="Times New Roman" w:hAnsi="Times New Roman" w:cs="Times New Roman"/>
          <w:color w:val="000000" w:themeColor="text1"/>
          <w:sz w:val="22"/>
          <w:szCs w:val="22"/>
        </w:rPr>
        <w:t>," 143</w:t>
      </w:r>
      <w:r w:rsidR="00F451FD" w:rsidRPr="00E44DE1">
        <w:rPr>
          <w:rFonts w:ascii="Times New Roman" w:hAnsi="Times New Roman" w:cs="Times New Roman"/>
          <w:color w:val="000000" w:themeColor="text1"/>
          <w:sz w:val="22"/>
          <w:szCs w:val="22"/>
        </w:rPr>
        <w:t>.</w:t>
      </w:r>
      <w:r w:rsidR="00F451FD" w:rsidRPr="00E44DE1">
        <w:rPr>
          <w:rFonts w:ascii="Times New Roman" w:hAnsi="Times New Roman" w:cs="Times New Roman"/>
          <w:color w:val="000000" w:themeColor="text1"/>
          <w:sz w:val="22"/>
          <w:szCs w:val="22"/>
        </w:rPr>
        <w:fldChar w:fldCharType="end"/>
      </w:r>
      <w:r w:rsidR="00F451FD" w:rsidRPr="00E44DE1">
        <w:rPr>
          <w:rFonts w:ascii="Times New Roman" w:hAnsi="Times New Roman" w:cs="Times New Roman"/>
          <w:color w:val="000000" w:themeColor="text1"/>
          <w:sz w:val="22"/>
          <w:szCs w:val="22"/>
        </w:rPr>
        <w:t xml:space="preserve"> See also, </w:t>
      </w:r>
      <w:r w:rsidR="00F451FD"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{"citationID":"3eK9o8rT","properties":{"formattedCitation":"Nicola Henry, \\uc0\\u8220{}The Fixation on Wartime Rape: Feminist Critique and International Criminal Law,\\uc0\\u8221{} {\\i{}Social &amp; Legal Studies} 23, no. 1 (March 1, 2014): 93\\uc0\\u8211{}111, https://doi.org/10.1177/0964663913499061.","plainCitation":"Nicola Henry, “The Fixation on Wartime Rape: Feminist Critique and International Criminal Law,” Social &amp; Legal Studies 23, no. 1 (March 1, 2014): 93–111, https://doi.org/10.1177/0964663913499061.","dontUpdate":true,"noteIndex":26},"citationItems":[{"id":11060,"uris":["http://zotero.org/groups/2727724/items/MHE96QQJ"],"itemData":{"id":11060,"type":"article-journal","abstract":"Since the early 1990s, wartime rape has been successfully prosecuted as a war crime, a crime against humanity and a crime of genocide. Feminist scholars, however, warn that the unprecedented attention to wartime sexual violence within international criminal law has had wide-ranging and unintended consequences. The aim of this article is to examine the heightened consciousness around wartime sexual violence and its ascendancy as a crime against ?humanity?. The article draws attention to two discourses. The first is the feminist political project, which sought to delineate wartime rape as a crime of grave magnitude that warranted explicit treatment under international criminal law; the second is the postmodernist feminist discourse, which questions the desirability of fixating on sexual violence against women in conflict. The point of this article is not to situate myself in either camp but rather to examine the power of international criminal law to pronounce meaning, demarcate the gravity of crimes and silence alternative stories. I will argue that due to the impassioned political controversy over rape within populist, scholarly and legal realms, not only are the substantive problems associated with rape prosecutions often left obscured but problematic rape hierarchies are reified and victim experiences further marginalised.","container-title":"Social &amp; Legal Studies","DOI":"10.1177/0964663913499061","ISSN":"0964-6639","issue":"1","language":"en","note":"publisher: SAGE Publications Ltd","page":"93-111","source":"SAGE Journals","title":"The Fixation on Wartime Rape: Feminist Critique and International Criminal Law","title-short":"The Fixation on Wartime Rape","volume":"23","author":[{"family":"Henry","given":"Nicola"}],"issued":{"date-parts":[["2014",3,1]]}}}],"schema":"https://github.com/citation-style-language/schema/raw/master/csl-citation.json"} </w:instrText>
      </w:r>
      <w:r w:rsidR="00F451FD" w:rsidRPr="00E44DE1">
        <w:rPr>
          <w:rFonts w:ascii="Times New Roman" w:hAnsi="Times New Roman" w:cs="Times New Roman"/>
          <w:color w:val="000000" w:themeColor="text1"/>
          <w:sz w:val="22"/>
          <w:szCs w:val="22"/>
        </w:rPr>
        <w:fldChar w:fldCharType="separate"/>
      </w:r>
      <w:r w:rsidR="00F451FD" w:rsidRPr="00E44DE1">
        <w:rPr>
          <w:rFonts w:ascii="Times New Roman" w:hAnsi="Times New Roman" w:cs="Times New Roman"/>
          <w:color w:val="000000" w:themeColor="text1"/>
          <w:sz w:val="22"/>
          <w:szCs w:val="22"/>
        </w:rPr>
        <w:t xml:space="preserve">Nicola Henry, “The Fixation on Wartime Rape: Feminist Critique and International Criminal Law,” </w:t>
      </w:r>
      <w:r w:rsidR="00F451FD" w:rsidRPr="00E44DE1">
        <w:rPr>
          <w:rFonts w:ascii="Times New Roman" w:hAnsi="Times New Roman" w:cs="Times New Roman"/>
          <w:i/>
          <w:iCs/>
          <w:color w:val="000000" w:themeColor="text1"/>
          <w:sz w:val="22"/>
          <w:szCs w:val="22"/>
        </w:rPr>
        <w:t>Social &amp; Legal Studies</w:t>
      </w:r>
      <w:r w:rsidR="00F451FD" w:rsidRPr="00E44DE1">
        <w:rPr>
          <w:rFonts w:ascii="Times New Roman" w:hAnsi="Times New Roman" w:cs="Times New Roman"/>
          <w:color w:val="000000" w:themeColor="text1"/>
          <w:sz w:val="22"/>
          <w:szCs w:val="22"/>
        </w:rPr>
        <w:t xml:space="preserve"> 23, no. 1 (March 2014): 93–111.</w:t>
      </w:r>
      <w:r w:rsidR="00F451FD" w:rsidRPr="00E44DE1">
        <w:rPr>
          <w:rFonts w:ascii="Times New Roman" w:hAnsi="Times New Roman" w:cs="Times New Roman"/>
          <w:color w:val="000000" w:themeColor="text1"/>
          <w:sz w:val="22"/>
          <w:szCs w:val="22"/>
        </w:rPr>
        <w:fldChar w:fldCharType="end"/>
      </w:r>
      <w:r w:rsidR="00F451FD" w:rsidRPr="00E44DE1">
        <w:rPr>
          <w:rFonts w:ascii="Times New Roman" w:hAnsi="Times New Roman" w:cs="Times New Roman"/>
          <w:color w:val="000000" w:themeColor="text1"/>
          <w:sz w:val="22"/>
          <w:szCs w:val="22"/>
        </w:rPr>
        <w:t xml:space="preserve"> </w:t>
      </w:r>
      <w:r w:rsidR="00F451FD"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{"citationID":"gXOO1mi2","properties":{"formattedCitation":"O\\uc0\\u8217{}Rourke, \\uc0\\u8220{}Transitional Justice and Gender.\\uc0\\u8221{}","plainCitation":"O’Rourke, “Transitional Justice and Gender.”","noteIndex":26},"citationItems":[{"id":9950,"uris":["http://zotero.org/groups/2727724/items/Z2S68FH8"],"itemData":{"id":9950,"type":"chapter","abstract":"The chapter provides an introduction and overview of key themes and dilemmas in gender scholarship and practice in transitional justice. The chapter begins by addressing preliminary definitional issues concerning ‘gender’, while also outlining the international normative and policy framework that guides the treatment of gender in transitional justice practice. The chapter identifies and outlines the following key themes of gender work in the field: the definition of ‘harm’ in transitional justice; addressing structural gender inequalities through transitional justice; the participation of women in processes and mechanisms; the place of men and masculinities; and practice to date in addressing violations experienced by sexual minorities. The chapter considers some of the enduring dilemmas in gender work in transitional justice, in particular the ongoing challenge of operationalising gender in practice, whether such efforts should be principally technical or transformative, and the gender implications of the mooted relationship of transitional justice to empire. The chapter concludes by emphasizing the importance of translating scholarly and policy developments into gender-equitable outcomes in transitional justice.Gender; harm; inequalities; masculinities; sexual minorities; empire","container-title":"Research Handbook on Transitional Justice","ISBN":"978-1-78195-531-4","language":"en_US","note":"section: Research Handbook on Transitional Justice","page":"117-141","publisher":"Edward Elgar Publishing","source":"www-elgaronline-com.ezp-prod1.hul.harvard.edu","title":"Transitional justice and gender","URL":"https://www.elgaronline.com/display/edcoll/9781781955307/9781781955307.00013.xml","author":[{"family":"O’Rourke","given":"Catherine"}],"accessed":{"date-parts":[["2023",3,3]]},"issued":{"date-parts":[["2017",6,30]]}}}],"schema":"https://github.com/citation-style-language/schema/raw/master/csl-citation.json"} </w:instrText>
      </w:r>
      <w:r w:rsidR="00F451FD" w:rsidRPr="00E44DE1">
        <w:rPr>
          <w:rFonts w:ascii="Times New Roman" w:hAnsi="Times New Roman" w:cs="Times New Roman"/>
          <w:color w:val="000000" w:themeColor="text1"/>
          <w:sz w:val="22"/>
          <w:szCs w:val="22"/>
        </w:rPr>
        <w:fldChar w:fldCharType="separate"/>
      </w:r>
      <w:r w:rsidR="00F451FD" w:rsidRPr="00E44DE1">
        <w:rPr>
          <w:rFonts w:ascii="Times New Roman" w:hAnsi="Times New Roman" w:cs="Times New Roman"/>
          <w:color w:val="000000" w:themeColor="text1"/>
          <w:sz w:val="22"/>
          <w:szCs w:val="22"/>
        </w:rPr>
        <w:t>O’Rourke, “Transitional Justice and Gender.”</w:t>
      </w:r>
      <w:r w:rsidR="00F451FD" w:rsidRPr="00E44DE1">
        <w:rPr>
          <w:rFonts w:ascii="Times New Roman" w:hAnsi="Times New Roman" w:cs="Times New Roman"/>
          <w:color w:val="000000" w:themeColor="text1"/>
          <w:sz w:val="22"/>
          <w:szCs w:val="22"/>
        </w:rPr>
        <w:fldChar w:fldCharType="end"/>
      </w:r>
    </w:p>
  </w:footnote>
  <w:footnote w:id="30">
    <w:p w14:paraId="06911A38" w14:textId="1B0AAECE" w:rsidR="001E7CB8" w:rsidRPr="00E44DE1" w:rsidRDefault="001E7CB8" w:rsidP="001E7CB8">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Sahla Aroussi, “Women, Peace, and Security and the DRC: Time to Rethink Wartime Sexual Violence as Gender-Based Violence?,” </w:t>
      </w:r>
      <w:r w:rsidRPr="00E44DE1">
        <w:rPr>
          <w:rFonts w:ascii="Times New Roman" w:hAnsi="Times New Roman" w:cs="Times New Roman"/>
          <w:i/>
          <w:iCs/>
          <w:color w:val="000000" w:themeColor="text1"/>
          <w:sz w:val="22"/>
          <w:szCs w:val="22"/>
        </w:rPr>
        <w:t>Politics and Gender</w:t>
      </w:r>
      <w:r w:rsidR="001476EA" w:rsidRPr="00E44DE1">
        <w:rPr>
          <w:rFonts w:ascii="Times New Roman" w:hAnsi="Times New Roman" w:cs="Times New Roman"/>
          <w:color w:val="000000" w:themeColor="text1"/>
          <w:sz w:val="22"/>
          <w:szCs w:val="22"/>
        </w:rPr>
        <w:t xml:space="preserve"> 13(3): 488-515</w:t>
      </w:r>
      <w:r w:rsidR="001476EA" w:rsidRPr="00E44DE1">
        <w:rPr>
          <w:rFonts w:ascii="Times New Roman" w:hAnsi="Times New Roman" w:cs="Times New Roman"/>
          <w:i/>
          <w:iCs/>
          <w:color w:val="000000" w:themeColor="text1"/>
          <w:sz w:val="22"/>
          <w:szCs w:val="22"/>
        </w:rPr>
        <w:t xml:space="preserve"> ;</w:t>
      </w:r>
      <w:r w:rsidRPr="00E44DE1">
        <w:rPr>
          <w:rFonts w:ascii="Times New Roman" w:hAnsi="Times New Roman" w:cs="Times New Roman"/>
          <w:color w:val="000000" w:themeColor="text1"/>
          <w:sz w:val="22"/>
          <w:szCs w:val="22"/>
        </w:rPr>
        <w:t xml:space="preserve"> </w:t>
      </w:r>
      <w:r w:rsidR="00F451FD" w:rsidRPr="00E44DE1">
        <w:rPr>
          <w:rFonts w:ascii="Times New Roman" w:hAnsi="Times New Roman" w:cs="Times New Roman"/>
          <w:color w:val="000000" w:themeColor="text1"/>
          <w:sz w:val="22"/>
          <w:szCs w:val="22"/>
        </w:rPr>
        <w:t xml:space="preserve">Maria Eriksson Baaz and Maria Stern, “Understanding and Addressing Conflict-Related Sexual Violence,” </w:t>
      </w:r>
      <w:r w:rsidR="00F451FD" w:rsidRPr="00E44DE1">
        <w:rPr>
          <w:rFonts w:ascii="Times New Roman" w:hAnsi="Times New Roman" w:cs="Times New Roman"/>
          <w:i/>
          <w:iCs/>
          <w:color w:val="000000" w:themeColor="text1"/>
          <w:sz w:val="22"/>
          <w:szCs w:val="22"/>
        </w:rPr>
        <w:t>The Nordic Africa Institute</w:t>
      </w:r>
      <w:r w:rsidR="00F451FD" w:rsidRPr="00E44DE1">
        <w:rPr>
          <w:rFonts w:ascii="Times New Roman" w:hAnsi="Times New Roman" w:cs="Times New Roman"/>
          <w:color w:val="000000" w:themeColor="text1"/>
          <w:sz w:val="22"/>
          <w:szCs w:val="22"/>
        </w:rPr>
        <w:t>,</w:t>
      </w:r>
      <w:r w:rsidR="00232C52" w:rsidRPr="00E44DE1">
        <w:rPr>
          <w:rFonts w:ascii="Times New Roman" w:hAnsi="Times New Roman" w:cs="Times New Roman"/>
          <w:color w:val="000000" w:themeColor="text1"/>
          <w:sz w:val="22"/>
          <w:szCs w:val="22"/>
        </w:rPr>
        <w:t xml:space="preserve"> Policy Notes</w:t>
      </w:r>
      <w:r w:rsidR="00F451FD" w:rsidRPr="00E44DE1">
        <w:rPr>
          <w:rFonts w:ascii="Times New Roman" w:hAnsi="Times New Roman" w:cs="Times New Roman"/>
          <w:color w:val="000000" w:themeColor="text1"/>
          <w:sz w:val="22"/>
          <w:szCs w:val="22"/>
        </w:rPr>
        <w:t xml:space="preserve"> </w:t>
      </w:r>
      <w:r w:rsidR="00232C52" w:rsidRPr="00E44DE1">
        <w:rPr>
          <w:rFonts w:ascii="Times New Roman" w:hAnsi="Times New Roman" w:cs="Times New Roman"/>
          <w:color w:val="000000" w:themeColor="text1"/>
          <w:sz w:val="22"/>
          <w:szCs w:val="22"/>
        </w:rPr>
        <w:t>(</w:t>
      </w:r>
      <w:r w:rsidR="00F451FD" w:rsidRPr="00E44DE1">
        <w:rPr>
          <w:rFonts w:ascii="Times New Roman" w:hAnsi="Times New Roman" w:cs="Times New Roman"/>
          <w:color w:val="000000" w:themeColor="text1"/>
          <w:sz w:val="22"/>
          <w:szCs w:val="22"/>
        </w:rPr>
        <w:t>2010</w:t>
      </w:r>
      <w:r w:rsidR="003A131E" w:rsidRPr="00E44DE1">
        <w:rPr>
          <w:rFonts w:ascii="Times New Roman" w:hAnsi="Times New Roman" w:cs="Times New Roman"/>
          <w:color w:val="000000" w:themeColor="text1"/>
          <w:sz w:val="22"/>
          <w:szCs w:val="22"/>
        </w:rPr>
        <w:t>)</w:t>
      </w:r>
      <w:r w:rsidR="00204DE5" w:rsidRPr="00E44DE1">
        <w:rPr>
          <w:rFonts w:ascii="Times New Roman" w:hAnsi="Times New Roman" w:cs="Times New Roman"/>
          <w:color w:val="000000" w:themeColor="text1"/>
          <w:sz w:val="22"/>
          <w:szCs w:val="22"/>
        </w:rPr>
        <w:t>; Johanna Bond, “Victimization, Mainstreaming, and the Complexity of Gender in Armed Conflict</w:t>
      </w:r>
      <w:r w:rsidR="00300C40" w:rsidRPr="00E44DE1">
        <w:rPr>
          <w:rFonts w:ascii="Times New Roman" w:hAnsi="Times New Roman" w:cs="Times New Roman"/>
          <w:color w:val="000000" w:themeColor="text1"/>
          <w:sz w:val="22"/>
          <w:szCs w:val="22"/>
        </w:rPr>
        <w:t>,</w:t>
      </w:r>
      <w:r w:rsidR="00204DE5" w:rsidRPr="00E44DE1">
        <w:rPr>
          <w:rFonts w:ascii="Times New Roman" w:hAnsi="Times New Roman" w:cs="Times New Roman"/>
          <w:color w:val="000000" w:themeColor="text1"/>
          <w:sz w:val="22"/>
          <w:szCs w:val="22"/>
        </w:rPr>
        <w:t xml:space="preserve">” </w:t>
      </w:r>
      <w:r w:rsidR="00204DE5" w:rsidRPr="00E44DE1">
        <w:rPr>
          <w:rFonts w:ascii="Times New Roman" w:hAnsi="Times New Roman" w:cs="Times New Roman"/>
          <w:i/>
          <w:iCs/>
          <w:color w:val="000000" w:themeColor="text1"/>
          <w:sz w:val="22"/>
          <w:szCs w:val="22"/>
        </w:rPr>
        <w:t>Santa Clara Journal of International Law</w:t>
      </w:r>
      <w:r w:rsidR="00204DE5" w:rsidRPr="00E44DE1">
        <w:rPr>
          <w:rFonts w:ascii="Times New Roman" w:hAnsi="Times New Roman" w:cs="Times New Roman"/>
          <w:color w:val="000000" w:themeColor="text1"/>
          <w:sz w:val="22"/>
          <w:szCs w:val="22"/>
        </w:rPr>
        <w:t xml:space="preserve"> 11, no. 1 (December 2012): 225.</w:t>
      </w:r>
    </w:p>
  </w:footnote>
  <w:footnote w:id="31">
    <w:p w14:paraId="48034CC6" w14:textId="540665D1" w:rsidR="00EF2B18" w:rsidRPr="00E44DE1" w:rsidRDefault="00EF2B18" w:rsidP="00EF2B18">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{"citationID":"5GAZrOfD","properties":{"formattedCitation":"Isabel Inguanzo and Angelica Rodriguez, \\uc0\\u8220{}Analysis of the Colombian Constitutional Court\\uc0\\u8217{}s Transformative Approach to Conflict-Related Sexual Violence,\\uc0\\u8221{} {\\i{}Social &amp; Legal Studies}, 2023.","plainCitation":"Isabel Inguanzo and Angelica Rodriguez, “Analysis of the Colombian Constitutional Court’s Transformative Approach to Conflict-Related Sexual Violence,” Social &amp; Legal Studies, 2023.","dontUpdate":true,"noteIndex":28},"citationItems":[{"id":9949,"uris":["http://zotero.org/groups/2727724/items/55GQEDQJ"],"itemData":{"id":9949,"type":"article-journal","abstract":"This paper aims to assess whether the Colombian Constitutional Court has had a transformative\napproach to transitional justice in relation to conflict-related sexual violence.\nBuilding upon previous literature on feminist approaches to transitional justice, we carry\nout a content analysis of all 37 Autos related to conflict-related sexual violence issued by\nthe Colombian Constitutional Court between 2008 and 2016. In doing so, we delve into\nhow the high court identifies perpetrators and survivors of sexual violence, the causes\nthat lead to sexual violence during conflict and displacement, and the measures they propose\nto eradicate this crime. Overall, while we find that critical decisions are transformative\nin most of the analysed dimensions, there remains some room for\nimprovement.","container-title":"Social &amp; Legal Studies","title":"Analysis of the Colombian Constitutional Court’s Transformative Approach to Conflict-Related Sexual Violence","author":[{"family":"Inguanzo","given":"Isabel"},{"family":"Rodriguez","given":"Angelica"}],"issued":{"date-parts":[["2023"]]}}}],"schema":"https://github.com/citation-style-language/schema/raw/master/csl-citation.json"}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 xml:space="preserve">Isabel Inguanzo and Angelica Rodriguez, “Analysis of the Colombian Constitutional Court’s Transformative Approach to Conflict-Related Sexual Violence,” </w:t>
      </w:r>
      <w:r w:rsidRPr="00E44DE1">
        <w:rPr>
          <w:rFonts w:ascii="Times New Roman" w:hAnsi="Times New Roman" w:cs="Times New Roman"/>
          <w:i/>
          <w:iCs/>
          <w:color w:val="000000" w:themeColor="text1"/>
          <w:sz w:val="22"/>
          <w:szCs w:val="22"/>
        </w:rPr>
        <w:t>Social &amp; Legal Studies</w:t>
      </w:r>
      <w:r w:rsidRPr="00E44DE1">
        <w:rPr>
          <w:rFonts w:ascii="Times New Roman" w:hAnsi="Times New Roman" w:cs="Times New Roman"/>
          <w:color w:val="000000" w:themeColor="text1"/>
          <w:sz w:val="22"/>
          <w:szCs w:val="22"/>
        </w:rPr>
        <w:t>, 2023</w:t>
      </w:r>
      <w:r w:rsidRPr="00E44DE1">
        <w:rPr>
          <w:rFonts w:ascii="Times New Roman" w:hAnsi="Times New Roman" w:cs="Times New Roman"/>
          <w:color w:val="000000" w:themeColor="text1"/>
          <w:sz w:val="22"/>
          <w:szCs w:val="22"/>
        </w:rPr>
        <w:fldChar w:fldCharType="end"/>
      </w:r>
      <w:r w:rsidR="00D23BA9" w:rsidRPr="00E44DE1">
        <w:rPr>
          <w:rFonts w:ascii="Times New Roman" w:hAnsi="Times New Roman" w:cs="Times New Roman"/>
          <w:color w:val="000000" w:themeColor="text1"/>
          <w:sz w:val="22"/>
          <w:szCs w:val="22"/>
        </w:rPr>
        <w:t>;</w:t>
      </w:r>
      <w:r w:rsidR="00204DE5" w:rsidRPr="00E44DE1">
        <w:rPr>
          <w:rFonts w:ascii="Times New Roman" w:hAnsi="Times New Roman" w:cs="Times New Roman"/>
          <w:color w:val="000000" w:themeColor="text1"/>
          <w:sz w:val="22"/>
          <w:szCs w:val="22"/>
        </w:rPr>
        <w:t xml:space="preserve"> Elise Ketelaars, “Gendering Tunisia’s Transition: Transformative Gender Justice Outcomes in Times of Transitional Justice Turmoil?” </w:t>
      </w:r>
      <w:r w:rsidR="00204DE5" w:rsidRPr="00E44DE1">
        <w:rPr>
          <w:rFonts w:ascii="Times New Roman" w:hAnsi="Times New Roman" w:cs="Times New Roman"/>
          <w:i/>
          <w:iCs/>
          <w:color w:val="000000" w:themeColor="text1"/>
          <w:sz w:val="22"/>
          <w:szCs w:val="22"/>
        </w:rPr>
        <w:t>International Journal of Transitional Justice</w:t>
      </w:r>
      <w:r w:rsidR="00204DE5" w:rsidRPr="00E44DE1">
        <w:rPr>
          <w:rFonts w:ascii="Times New Roman" w:hAnsi="Times New Roman" w:cs="Times New Roman"/>
          <w:color w:val="000000" w:themeColor="text1"/>
          <w:sz w:val="22"/>
          <w:szCs w:val="22"/>
        </w:rPr>
        <w:t xml:space="preserve"> 12, no. 3 (November 2018): 407–26</w:t>
      </w:r>
      <w:r w:rsidR="007F7DF0" w:rsidRPr="00E44DE1">
        <w:rPr>
          <w:rFonts w:ascii="Times New Roman" w:hAnsi="Times New Roman" w:cs="Times New Roman"/>
          <w:color w:val="000000" w:themeColor="text1"/>
          <w:sz w:val="22"/>
          <w:szCs w:val="22"/>
        </w:rPr>
        <w:t>;</w:t>
      </w:r>
      <w:r w:rsidR="00204DE5" w:rsidRPr="00E44DE1">
        <w:rPr>
          <w:rFonts w:ascii="Times New Roman" w:hAnsi="Times New Roman" w:cs="Times New Roman"/>
          <w:color w:val="000000" w:themeColor="text1"/>
          <w:sz w:val="22"/>
          <w:szCs w:val="22"/>
        </w:rPr>
        <w:t xml:space="preserve"> Fiona C. Ross, </w:t>
      </w:r>
      <w:r w:rsidR="00204DE5" w:rsidRPr="00E44DE1">
        <w:rPr>
          <w:rFonts w:ascii="Times New Roman" w:hAnsi="Times New Roman" w:cs="Times New Roman"/>
          <w:i/>
          <w:iCs/>
          <w:color w:val="000000" w:themeColor="text1"/>
          <w:sz w:val="22"/>
          <w:szCs w:val="22"/>
        </w:rPr>
        <w:t>Bearing Witness: Women and the Truth and Reconciliation Commission in South Africa</w:t>
      </w:r>
      <w:r w:rsidR="00204DE5" w:rsidRPr="00E44DE1">
        <w:rPr>
          <w:rFonts w:ascii="Times New Roman" w:hAnsi="Times New Roman" w:cs="Times New Roman"/>
          <w:color w:val="000000" w:themeColor="text1"/>
          <w:sz w:val="22"/>
          <w:szCs w:val="22"/>
        </w:rPr>
        <w:t xml:space="preserve"> (London: Pluto Press, 2003), 11, 16.</w:t>
      </w:r>
    </w:p>
  </w:footnote>
  <w:footnote w:id="32">
    <w:p w14:paraId="3CC1A575" w14:textId="77777777" w:rsidR="00ED124F" w:rsidRPr="00E44DE1" w:rsidRDefault="00ED124F" w:rsidP="00ED124F">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See Appendix A for the list of transitional contexts included in our study. </w:t>
      </w:r>
    </w:p>
  </w:footnote>
  <w:footnote w:id="33">
    <w:p w14:paraId="5A5B6F9C" w14:textId="5871BE66" w:rsidR="000F1D81" w:rsidRPr="00E44DE1" w:rsidRDefault="003D0700" w:rsidP="000F1D81">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009A1E82" w:rsidRPr="00E44DE1">
        <w:rPr>
          <w:rFonts w:ascii="Times New Roman" w:hAnsi="Times New Roman" w:cs="Times New Roman"/>
          <w:color w:val="000000" w:themeColor="text1"/>
          <w:sz w:val="22"/>
          <w:szCs w:val="22"/>
        </w:rPr>
        <w:t xml:space="preserve"> See for example,</w:t>
      </w:r>
      <w:r w:rsidRPr="00E44DE1">
        <w:rPr>
          <w:rFonts w:ascii="Times New Roman" w:hAnsi="Times New Roman" w:cs="Times New Roman"/>
          <w:color w:val="000000" w:themeColor="text1"/>
          <w:sz w:val="22"/>
          <w:szCs w:val="22"/>
        </w:rPr>
        <w:t xml:space="preserve"> </w:t>
      </w:r>
      <w:r w:rsidR="00F144BD" w:rsidRPr="00E44DE1">
        <w:rPr>
          <w:rFonts w:ascii="Times New Roman" w:hAnsi="Times New Roman" w:cs="Times New Roman"/>
          <w:color w:val="000000" w:themeColor="text1"/>
          <w:sz w:val="22"/>
          <w:szCs w:val="22"/>
        </w:rPr>
        <w:t xml:space="preserve">Sanne </w:t>
      </w:r>
      <w:r w:rsidRPr="00E44DE1">
        <w:rPr>
          <w:rFonts w:ascii="Times New Roman" w:hAnsi="Times New Roman" w:cs="Times New Roman"/>
          <w:color w:val="000000" w:themeColor="text1"/>
          <w:sz w:val="22"/>
          <w:szCs w:val="22"/>
        </w:rPr>
        <w:t>Weber</w:t>
      </w:r>
      <w:r w:rsidR="00CE15F8"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“Gender and Transitional Justice</w:t>
      </w:r>
      <w:r w:rsidR="009674F7"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w:t>
      </w:r>
      <w:r w:rsidR="002E49D6" w:rsidRPr="00E44DE1">
        <w:rPr>
          <w:rFonts w:ascii="Times New Roman" w:hAnsi="Times New Roman" w:cs="Times New Roman"/>
          <w:color w:val="000000" w:themeColor="text1"/>
          <w:sz w:val="22"/>
          <w:szCs w:val="22"/>
        </w:rPr>
        <w:t>i</w:t>
      </w:r>
      <w:r w:rsidRPr="00E44DE1">
        <w:rPr>
          <w:rFonts w:ascii="Times New Roman" w:hAnsi="Times New Roman" w:cs="Times New Roman"/>
          <w:color w:val="000000" w:themeColor="text1"/>
          <w:sz w:val="22"/>
          <w:szCs w:val="22"/>
        </w:rPr>
        <w:t xml:space="preserve">n </w:t>
      </w:r>
      <w:r w:rsidRPr="00E44DE1">
        <w:rPr>
          <w:rFonts w:ascii="Times New Roman" w:hAnsi="Times New Roman" w:cs="Times New Roman"/>
          <w:i/>
          <w:iCs/>
          <w:color w:val="000000" w:themeColor="text1"/>
          <w:sz w:val="22"/>
          <w:szCs w:val="22"/>
        </w:rPr>
        <w:t>Transitional Justice</w:t>
      </w:r>
      <w:r w:rsidR="00007398" w:rsidRPr="00E44DE1">
        <w:rPr>
          <w:rFonts w:ascii="Times New Roman" w:hAnsi="Times New Roman" w:cs="Times New Roman"/>
          <w:i/>
          <w:iCs/>
          <w:color w:val="000000" w:themeColor="text1"/>
          <w:sz w:val="22"/>
          <w:szCs w:val="22"/>
        </w:rPr>
        <w:t>: Theories</w:t>
      </w:r>
      <w:r w:rsidR="00074435" w:rsidRPr="00E44DE1">
        <w:rPr>
          <w:rFonts w:ascii="Times New Roman" w:hAnsi="Times New Roman" w:cs="Times New Roman"/>
          <w:i/>
          <w:iCs/>
          <w:color w:val="000000" w:themeColor="text1"/>
          <w:sz w:val="22"/>
          <w:szCs w:val="22"/>
        </w:rPr>
        <w:t>,</w:t>
      </w:r>
      <w:r w:rsidR="00007398" w:rsidRPr="00E44DE1">
        <w:rPr>
          <w:rFonts w:ascii="Times New Roman" w:hAnsi="Times New Roman" w:cs="Times New Roman"/>
          <w:i/>
          <w:iCs/>
          <w:color w:val="000000" w:themeColor="text1"/>
          <w:sz w:val="22"/>
          <w:szCs w:val="22"/>
        </w:rPr>
        <w:t xml:space="preserve"> Mechanisms</w:t>
      </w:r>
      <w:r w:rsidR="00074435" w:rsidRPr="00E44DE1">
        <w:rPr>
          <w:rFonts w:ascii="Times New Roman" w:hAnsi="Times New Roman" w:cs="Times New Roman"/>
          <w:i/>
          <w:iCs/>
          <w:color w:val="000000" w:themeColor="text1"/>
          <w:sz w:val="22"/>
          <w:szCs w:val="22"/>
        </w:rPr>
        <w:t>,</w:t>
      </w:r>
      <w:r w:rsidR="00007398" w:rsidRPr="00E44DE1">
        <w:rPr>
          <w:rFonts w:ascii="Times New Roman" w:hAnsi="Times New Roman" w:cs="Times New Roman"/>
          <w:i/>
          <w:iCs/>
          <w:color w:val="000000" w:themeColor="text1"/>
          <w:sz w:val="22"/>
          <w:szCs w:val="22"/>
        </w:rPr>
        <w:t xml:space="preserve"> and Debates</w:t>
      </w:r>
      <w:r w:rsidR="00007398" w:rsidRPr="00E44DE1">
        <w:rPr>
          <w:rFonts w:ascii="Times New Roman" w:hAnsi="Times New Roman" w:cs="Times New Roman"/>
          <w:color w:val="000000" w:themeColor="text1"/>
          <w:sz w:val="22"/>
          <w:szCs w:val="22"/>
        </w:rPr>
        <w:t xml:space="preserve">, ed. </w:t>
      </w:r>
      <w:r w:rsidR="0007099F" w:rsidRPr="00E44DE1">
        <w:rPr>
          <w:rFonts w:ascii="Times New Roman" w:hAnsi="Times New Roman" w:cs="Times New Roman"/>
          <w:color w:val="000000" w:themeColor="text1"/>
          <w:sz w:val="22"/>
          <w:szCs w:val="22"/>
        </w:rPr>
        <w:t>Hakeem O. Yusuf</w:t>
      </w:r>
      <w:r w:rsidR="00A2725C" w:rsidRPr="00E44DE1">
        <w:rPr>
          <w:rFonts w:ascii="Times New Roman" w:hAnsi="Times New Roman" w:cs="Times New Roman"/>
          <w:color w:val="000000" w:themeColor="text1"/>
          <w:sz w:val="22"/>
          <w:szCs w:val="22"/>
        </w:rPr>
        <w:t xml:space="preserve"> and</w:t>
      </w:r>
      <w:r w:rsidR="00007398" w:rsidRPr="00E44DE1">
        <w:rPr>
          <w:rFonts w:ascii="Times New Roman" w:hAnsi="Times New Roman" w:cs="Times New Roman"/>
          <w:color w:val="000000" w:themeColor="text1"/>
          <w:sz w:val="22"/>
          <w:szCs w:val="22"/>
        </w:rPr>
        <w:t> </w:t>
      </w:r>
      <w:r w:rsidR="0007099F" w:rsidRPr="00E44DE1">
        <w:rPr>
          <w:rFonts w:ascii="Times New Roman" w:hAnsi="Times New Roman" w:cs="Times New Roman"/>
          <w:color w:val="000000" w:themeColor="text1"/>
          <w:sz w:val="22"/>
          <w:szCs w:val="22"/>
        </w:rPr>
        <w:t>Hugo van der Merwe</w:t>
      </w:r>
      <w:r w:rsidRPr="00E44DE1">
        <w:rPr>
          <w:rFonts w:ascii="Times New Roman" w:hAnsi="Times New Roman" w:cs="Times New Roman"/>
          <w:color w:val="000000" w:themeColor="text1"/>
          <w:sz w:val="22"/>
          <w:szCs w:val="22"/>
        </w:rPr>
        <w:t xml:space="preserve"> </w:t>
      </w:r>
      <w:r w:rsidR="00494155" w:rsidRPr="00E44DE1">
        <w:rPr>
          <w:rFonts w:ascii="Times New Roman" w:hAnsi="Times New Roman" w:cs="Times New Roman"/>
          <w:color w:val="000000" w:themeColor="text1"/>
          <w:sz w:val="22"/>
          <w:szCs w:val="22"/>
        </w:rPr>
        <w:t>(</w:t>
      </w:r>
      <w:r w:rsidR="007E4367" w:rsidRPr="00E44DE1">
        <w:rPr>
          <w:rFonts w:ascii="Times New Roman" w:hAnsi="Times New Roman" w:cs="Times New Roman"/>
          <w:color w:val="000000" w:themeColor="text1"/>
          <w:sz w:val="22"/>
          <w:szCs w:val="22"/>
        </w:rPr>
        <w:t xml:space="preserve">London: </w:t>
      </w:r>
      <w:r w:rsidRPr="00E44DE1">
        <w:rPr>
          <w:rFonts w:ascii="Times New Roman" w:hAnsi="Times New Roman" w:cs="Times New Roman"/>
          <w:color w:val="000000" w:themeColor="text1"/>
          <w:sz w:val="22"/>
          <w:szCs w:val="22"/>
        </w:rPr>
        <w:t>Routledge, 2021</w:t>
      </w:r>
      <w:r w:rsidR="00D33E07" w:rsidRPr="00E44DE1">
        <w:rPr>
          <w:rFonts w:ascii="Times New Roman" w:hAnsi="Times New Roman" w:cs="Times New Roman"/>
          <w:color w:val="000000" w:themeColor="text1"/>
          <w:sz w:val="22"/>
          <w:szCs w:val="22"/>
        </w:rPr>
        <w:t>)</w:t>
      </w:r>
      <w:r w:rsidR="009A1E82" w:rsidRPr="00E44DE1">
        <w:rPr>
          <w:rFonts w:ascii="Times New Roman" w:hAnsi="Times New Roman" w:cs="Times New Roman"/>
          <w:color w:val="000000" w:themeColor="text1"/>
          <w:sz w:val="22"/>
          <w:szCs w:val="22"/>
        </w:rPr>
        <w:t xml:space="preserve">; </w:t>
      </w:r>
      <w:r w:rsidR="0019234E" w:rsidRPr="00E44DE1">
        <w:rPr>
          <w:rFonts w:ascii="Times New Roman" w:hAnsi="Times New Roman" w:cs="Times New Roman"/>
          <w:color w:val="000000" w:themeColor="text1"/>
          <w:sz w:val="22"/>
          <w:szCs w:val="22"/>
        </w:rPr>
        <w:t xml:space="preserve">Maria Martin de </w:t>
      </w:r>
      <w:r w:rsidR="000F1D81" w:rsidRPr="00E44DE1">
        <w:rPr>
          <w:rFonts w:ascii="Times New Roman" w:hAnsi="Times New Roman" w:cs="Times New Roman"/>
          <w:color w:val="000000" w:themeColor="text1"/>
          <w:sz w:val="22"/>
          <w:szCs w:val="22"/>
        </w:rPr>
        <w:t>Almagro, and Philipp Schulz</w:t>
      </w:r>
      <w:r w:rsidR="00E4707A" w:rsidRPr="00E44DE1">
        <w:rPr>
          <w:rFonts w:ascii="Times New Roman" w:hAnsi="Times New Roman" w:cs="Times New Roman"/>
          <w:color w:val="000000" w:themeColor="text1"/>
          <w:sz w:val="22"/>
          <w:szCs w:val="22"/>
        </w:rPr>
        <w:t xml:space="preserve">, </w:t>
      </w:r>
      <w:r w:rsidR="000F1D81" w:rsidRPr="00E44DE1">
        <w:rPr>
          <w:rFonts w:ascii="Times New Roman" w:hAnsi="Times New Roman" w:cs="Times New Roman"/>
          <w:color w:val="000000" w:themeColor="text1"/>
          <w:sz w:val="22"/>
          <w:szCs w:val="22"/>
        </w:rPr>
        <w:t>“Gender and Transitional Justice</w:t>
      </w:r>
      <w:r w:rsidR="00463661" w:rsidRPr="00E44DE1">
        <w:rPr>
          <w:rFonts w:ascii="Times New Roman" w:hAnsi="Times New Roman" w:cs="Times New Roman"/>
          <w:color w:val="000000" w:themeColor="text1"/>
          <w:sz w:val="22"/>
          <w:szCs w:val="22"/>
        </w:rPr>
        <w:t>,</w:t>
      </w:r>
      <w:r w:rsidR="000F1D81" w:rsidRPr="00E44DE1">
        <w:rPr>
          <w:rFonts w:ascii="Times New Roman" w:hAnsi="Times New Roman" w:cs="Times New Roman"/>
          <w:color w:val="000000" w:themeColor="text1"/>
          <w:sz w:val="22"/>
          <w:szCs w:val="22"/>
        </w:rPr>
        <w:t xml:space="preserve">” </w:t>
      </w:r>
      <w:r w:rsidR="00463661" w:rsidRPr="00E44DE1">
        <w:rPr>
          <w:rFonts w:ascii="Times New Roman" w:hAnsi="Times New Roman" w:cs="Times New Roman"/>
          <w:color w:val="000000" w:themeColor="text1"/>
          <w:sz w:val="22"/>
          <w:szCs w:val="22"/>
        </w:rPr>
        <w:t>i</w:t>
      </w:r>
      <w:r w:rsidR="000F1D81" w:rsidRPr="00E44DE1">
        <w:rPr>
          <w:rFonts w:ascii="Times New Roman" w:hAnsi="Times New Roman" w:cs="Times New Roman"/>
          <w:color w:val="000000" w:themeColor="text1"/>
          <w:sz w:val="22"/>
          <w:szCs w:val="22"/>
        </w:rPr>
        <w:t xml:space="preserve">n </w:t>
      </w:r>
      <w:r w:rsidR="000F1D81" w:rsidRPr="00E44DE1">
        <w:rPr>
          <w:rFonts w:ascii="Times New Roman" w:hAnsi="Times New Roman" w:cs="Times New Roman"/>
          <w:i/>
          <w:iCs/>
          <w:color w:val="000000" w:themeColor="text1"/>
          <w:sz w:val="22"/>
          <w:szCs w:val="22"/>
        </w:rPr>
        <w:t>Oxford Research Encyclopedia of International Studies</w:t>
      </w:r>
      <w:r w:rsidR="000F1D81" w:rsidRPr="00E44DE1">
        <w:rPr>
          <w:rFonts w:ascii="Times New Roman" w:hAnsi="Times New Roman" w:cs="Times New Roman"/>
          <w:color w:val="000000" w:themeColor="text1"/>
          <w:sz w:val="22"/>
          <w:szCs w:val="22"/>
        </w:rPr>
        <w:t>,</w:t>
      </w:r>
      <w:r w:rsidR="00407C9A" w:rsidRPr="00E44DE1">
        <w:rPr>
          <w:rFonts w:ascii="Times New Roman" w:hAnsi="Times New Roman" w:cs="Times New Roman"/>
          <w:color w:val="000000" w:themeColor="text1"/>
          <w:sz w:val="22"/>
          <w:szCs w:val="22"/>
        </w:rPr>
        <w:t xml:space="preserve"> </w:t>
      </w:r>
      <w:r w:rsidR="000F1D81" w:rsidRPr="00E44DE1">
        <w:rPr>
          <w:rFonts w:ascii="Times New Roman" w:hAnsi="Times New Roman" w:cs="Times New Roman"/>
          <w:color w:val="000000" w:themeColor="text1"/>
          <w:sz w:val="22"/>
          <w:szCs w:val="22"/>
        </w:rPr>
        <w:t>2022.</w:t>
      </w:r>
    </w:p>
    <w:p w14:paraId="0CC66238" w14:textId="00D5A4E5" w:rsidR="003D0700" w:rsidRPr="00E44DE1" w:rsidRDefault="003D0700">
      <w:pPr>
        <w:pStyle w:val="FootnoteText"/>
        <w:rPr>
          <w:rFonts w:ascii="Times New Roman" w:hAnsi="Times New Roman" w:cs="Times New Roman"/>
          <w:color w:val="000000" w:themeColor="text1"/>
          <w:sz w:val="22"/>
          <w:szCs w:val="22"/>
        </w:rPr>
      </w:pPr>
    </w:p>
  </w:footnote>
  <w:footnote w:id="34">
    <w:p w14:paraId="4A7AC94C" w14:textId="77777777" w:rsidR="00302471" w:rsidRPr="00E44DE1" w:rsidRDefault="00302471" w:rsidP="00302471">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The Protocol to the African Charter on Human and Peoples’ Rights on the Rights of Women (Maputo Protocol) was adopted in 2003 and the European Convention on Preventing and Combatting Violence against Women and Domestic Violence (the Istanbul Convention) was adopted in 2011. Other regions do not yet have regional treaties on the topic, but there is an ASEAN Declaration on Violence against Women adopted in 2004. </w:t>
      </w:r>
    </w:p>
  </w:footnote>
  <w:footnote w:id="35">
    <w:p w14:paraId="692CDB80" w14:textId="6A62C7DC" w:rsidR="000761DF" w:rsidRPr="00E44DE1" w:rsidRDefault="000761DF" w:rsidP="000761DF">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0039068B" w:rsidRPr="00E44DE1">
        <w:rPr>
          <w:rFonts w:ascii="Times New Roman" w:hAnsi="Times New Roman" w:cs="Times New Roman"/>
          <w:color w:val="000000" w:themeColor="text1"/>
          <w:sz w:val="22"/>
          <w:szCs w:val="22"/>
        </w:rPr>
        <w:t xml:space="preserve">Marcos </w:t>
      </w:r>
      <w:r w:rsidRPr="00E44DE1">
        <w:rPr>
          <w:rFonts w:ascii="Times New Roman" w:hAnsi="Times New Roman" w:cs="Times New Roman"/>
          <w:color w:val="000000" w:themeColor="text1"/>
          <w:sz w:val="22"/>
          <w:szCs w:val="22"/>
        </w:rPr>
        <w:t>Ancelovici and Jane Jenson</w:t>
      </w:r>
      <w:r w:rsidR="0012721B"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w:t>
      </w:r>
      <w:r w:rsidR="00D566AB"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Standardization for Transnational Diffusion: The Case of Truth Commissions and Conditional Cash Transfers</w:t>
      </w:r>
      <w:r w:rsidR="00D566AB"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i/>
          <w:iCs/>
          <w:color w:val="000000" w:themeColor="text1"/>
          <w:sz w:val="22"/>
          <w:szCs w:val="22"/>
        </w:rPr>
        <w:t>International Political Sociology</w:t>
      </w:r>
      <w:r w:rsidRPr="00E44DE1">
        <w:rPr>
          <w:rFonts w:ascii="Times New Roman" w:hAnsi="Times New Roman" w:cs="Times New Roman"/>
          <w:color w:val="000000" w:themeColor="text1"/>
          <w:sz w:val="22"/>
          <w:szCs w:val="22"/>
        </w:rPr>
        <w:t xml:space="preserve"> 7(3): 294–312. </w:t>
      </w:r>
    </w:p>
  </w:footnote>
  <w:footnote w:id="36">
    <w:p w14:paraId="21AE6343" w14:textId="4A2F3671" w:rsidR="00EB1F4A" w:rsidRPr="00E44DE1" w:rsidRDefault="00EB1F4A" w:rsidP="00EB1F4A">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South Africa’s reparations policy outlined in the TRC was not passed into law until 2003. Filipa Raimundo and Antonio Costa Pinto, “From Ruptured Transition to Politics of Silence: the Case of Portugal</w:t>
      </w:r>
      <w:r w:rsidR="00EE70A4"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in </w:t>
      </w:r>
      <w:r w:rsidRPr="00E44DE1">
        <w:rPr>
          <w:rFonts w:ascii="Times New Roman" w:hAnsi="Times New Roman" w:cs="Times New Roman"/>
          <w:i/>
          <w:iCs/>
          <w:color w:val="000000" w:themeColor="text1"/>
          <w:sz w:val="22"/>
          <w:szCs w:val="22"/>
        </w:rPr>
        <w:t>Transitional Justice and Memory in Europe (1945-2013)</w:t>
      </w:r>
      <w:r w:rsidRPr="00E44DE1">
        <w:rPr>
          <w:rFonts w:ascii="Times New Roman" w:hAnsi="Times New Roman" w:cs="Times New Roman"/>
          <w:color w:val="000000" w:themeColor="text1"/>
          <w:sz w:val="22"/>
          <w:szCs w:val="22"/>
        </w:rPr>
        <w:t xml:space="preserve">, </w:t>
      </w:r>
      <w:r w:rsidR="0012311E" w:rsidRPr="00E44DE1">
        <w:rPr>
          <w:rFonts w:ascii="Times New Roman" w:hAnsi="Times New Roman" w:cs="Times New Roman"/>
          <w:color w:val="000000" w:themeColor="text1"/>
          <w:sz w:val="22"/>
          <w:szCs w:val="22"/>
        </w:rPr>
        <w:t>ed.</w:t>
      </w:r>
      <w:r w:rsidRPr="00E44DE1">
        <w:rPr>
          <w:rFonts w:ascii="Times New Roman" w:hAnsi="Times New Roman" w:cs="Times New Roman"/>
          <w:color w:val="000000" w:themeColor="text1"/>
          <w:sz w:val="22"/>
          <w:szCs w:val="22"/>
        </w:rPr>
        <w:t xml:space="preserve"> Nico Wouters, 173-198 (Cambridge, UK: Intersentia Publishing Ltd., 2014): 191</w:t>
      </w:r>
      <w:r w:rsidR="00BA0854" w:rsidRPr="00E44DE1">
        <w:rPr>
          <w:rFonts w:ascii="Times New Roman" w:hAnsi="Times New Roman" w:cs="Times New Roman"/>
          <w:color w:val="000000" w:themeColor="text1"/>
          <w:sz w:val="22"/>
          <w:szCs w:val="22"/>
        </w:rPr>
        <w:t xml:space="preserve">; </w:t>
      </w:r>
      <w:r w:rsidR="00554936" w:rsidRPr="00E44DE1">
        <w:rPr>
          <w:rFonts w:ascii="Times New Roman" w:hAnsi="Times New Roman" w:cs="Times New Roman"/>
          <w:color w:val="000000" w:themeColor="text1"/>
          <w:sz w:val="22"/>
          <w:szCs w:val="22"/>
        </w:rPr>
        <w:t xml:space="preserve">Christopher </w:t>
      </w:r>
      <w:r w:rsidR="00701AF6" w:rsidRPr="00E44DE1">
        <w:rPr>
          <w:rFonts w:ascii="Times New Roman" w:hAnsi="Times New Roman" w:cs="Times New Roman"/>
          <w:color w:val="000000" w:themeColor="text1"/>
          <w:sz w:val="22"/>
          <w:szCs w:val="22"/>
        </w:rPr>
        <w:t xml:space="preserve">J. </w:t>
      </w:r>
      <w:r w:rsidR="00681C0F" w:rsidRPr="00E44DE1">
        <w:rPr>
          <w:rFonts w:ascii="Times New Roman" w:hAnsi="Times New Roman" w:cs="Times New Roman"/>
          <w:color w:val="000000" w:themeColor="text1"/>
          <w:sz w:val="22"/>
          <w:szCs w:val="22"/>
        </w:rPr>
        <w:t xml:space="preserve">Colvin, </w:t>
      </w:r>
      <w:r w:rsidR="002977D2" w:rsidRPr="00E44DE1">
        <w:rPr>
          <w:rFonts w:ascii="Times New Roman" w:hAnsi="Times New Roman" w:cs="Times New Roman"/>
          <w:color w:val="000000" w:themeColor="text1"/>
          <w:sz w:val="22"/>
          <w:szCs w:val="22"/>
        </w:rPr>
        <w:t xml:space="preserve">“Overview of the Reparations Program in South Africa,” </w:t>
      </w:r>
      <w:r w:rsidR="006D6805" w:rsidRPr="00E44DE1">
        <w:rPr>
          <w:rFonts w:ascii="Times New Roman" w:hAnsi="Times New Roman" w:cs="Times New Roman"/>
          <w:color w:val="000000" w:themeColor="text1"/>
          <w:sz w:val="22"/>
          <w:szCs w:val="22"/>
        </w:rPr>
        <w:t xml:space="preserve">in </w:t>
      </w:r>
      <w:r w:rsidR="006D6805" w:rsidRPr="00E44DE1">
        <w:rPr>
          <w:rFonts w:ascii="Times New Roman" w:hAnsi="Times New Roman" w:cs="Times New Roman"/>
          <w:i/>
          <w:iCs/>
          <w:color w:val="000000" w:themeColor="text1"/>
          <w:sz w:val="22"/>
          <w:szCs w:val="22"/>
        </w:rPr>
        <w:t>The Handbook of Reparations</w:t>
      </w:r>
      <w:r w:rsidR="00B057A5" w:rsidRPr="00E44DE1">
        <w:rPr>
          <w:rFonts w:ascii="Times New Roman" w:hAnsi="Times New Roman" w:cs="Times New Roman"/>
          <w:color w:val="000000" w:themeColor="text1"/>
          <w:sz w:val="22"/>
          <w:szCs w:val="22"/>
        </w:rPr>
        <w:t>,</w:t>
      </w:r>
      <w:r w:rsidR="006D6805" w:rsidRPr="00E44DE1">
        <w:rPr>
          <w:rFonts w:ascii="Times New Roman" w:hAnsi="Times New Roman" w:cs="Times New Roman"/>
          <w:color w:val="000000" w:themeColor="text1"/>
          <w:sz w:val="22"/>
          <w:szCs w:val="22"/>
        </w:rPr>
        <w:t xml:space="preserve"> </w:t>
      </w:r>
      <w:r w:rsidR="00B057A5" w:rsidRPr="00E44DE1">
        <w:rPr>
          <w:rFonts w:ascii="Times New Roman" w:hAnsi="Times New Roman" w:cs="Times New Roman"/>
          <w:color w:val="000000" w:themeColor="text1"/>
          <w:sz w:val="22"/>
          <w:szCs w:val="22"/>
        </w:rPr>
        <w:t>ed.</w:t>
      </w:r>
      <w:r w:rsidR="00F64C9B" w:rsidRPr="00E44DE1">
        <w:rPr>
          <w:rFonts w:ascii="Times New Roman" w:hAnsi="Times New Roman" w:cs="Times New Roman"/>
          <w:color w:val="000000" w:themeColor="text1"/>
          <w:sz w:val="22"/>
          <w:szCs w:val="22"/>
        </w:rPr>
        <w:t xml:space="preserve"> Pablo de Greiff</w:t>
      </w:r>
      <w:r w:rsidR="006F2347" w:rsidRPr="00E44DE1">
        <w:rPr>
          <w:rFonts w:ascii="Times New Roman" w:hAnsi="Times New Roman" w:cs="Times New Roman"/>
          <w:color w:val="000000" w:themeColor="text1"/>
          <w:sz w:val="22"/>
          <w:szCs w:val="22"/>
        </w:rPr>
        <w:t xml:space="preserve"> (Oxford: Oxford University Press</w:t>
      </w:r>
      <w:r w:rsidR="002103B9" w:rsidRPr="00E44DE1">
        <w:rPr>
          <w:rFonts w:ascii="Times New Roman" w:hAnsi="Times New Roman" w:cs="Times New Roman"/>
          <w:color w:val="000000" w:themeColor="text1"/>
          <w:sz w:val="22"/>
          <w:szCs w:val="22"/>
        </w:rPr>
        <w:t>, 2006</w:t>
      </w:r>
      <w:r w:rsidR="006F2347" w:rsidRPr="00E44DE1">
        <w:rPr>
          <w:rFonts w:ascii="Times New Roman" w:hAnsi="Times New Roman" w:cs="Times New Roman"/>
          <w:color w:val="000000" w:themeColor="text1"/>
          <w:sz w:val="22"/>
          <w:szCs w:val="22"/>
        </w:rPr>
        <w:t>)</w:t>
      </w:r>
      <w:r w:rsidR="002103B9" w:rsidRPr="00E44DE1">
        <w:rPr>
          <w:rFonts w:ascii="Times New Roman" w:hAnsi="Times New Roman" w:cs="Times New Roman"/>
          <w:color w:val="000000" w:themeColor="text1"/>
          <w:sz w:val="22"/>
          <w:szCs w:val="22"/>
        </w:rPr>
        <w:t xml:space="preserve">, </w:t>
      </w:r>
      <w:r w:rsidR="0078440E" w:rsidRPr="00E44DE1">
        <w:rPr>
          <w:rFonts w:ascii="Times New Roman" w:hAnsi="Times New Roman" w:cs="Times New Roman"/>
          <w:color w:val="000000" w:themeColor="text1"/>
          <w:sz w:val="22"/>
          <w:szCs w:val="22"/>
        </w:rPr>
        <w:t>176-214.</w:t>
      </w:r>
    </w:p>
  </w:footnote>
  <w:footnote w:id="37">
    <w:p w14:paraId="21E24D26" w14:textId="77777777" w:rsidR="00FE1F94" w:rsidRPr="00E44DE1" w:rsidRDefault="00FE1F94" w:rsidP="00FE1F94">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Beth Goldblatt and Sheila Meintjes, “Gender and the Truth and Reconciliation Commission,” May 1996, </w:t>
      </w:r>
      <w:hyperlink r:id="rId4" w:history="1">
        <w:r w:rsidRPr="00E44DE1">
          <w:rPr>
            <w:rStyle w:val="Hyperlink"/>
            <w:rFonts w:ascii="Times New Roman" w:hAnsi="Times New Roman" w:cs="Times New Roman"/>
            <w:color w:val="000000" w:themeColor="text1"/>
            <w:sz w:val="22"/>
            <w:szCs w:val="22"/>
            <w:u w:val="none"/>
          </w:rPr>
          <w:t>https://www.justice.gov.za/trc/hrvtrans/submit/gender.htm</w:t>
        </w:r>
      </w:hyperlink>
      <w:r w:rsidRPr="00E44DE1">
        <w:rPr>
          <w:rFonts w:ascii="Times New Roman" w:hAnsi="Times New Roman" w:cs="Times New Roman"/>
          <w:color w:val="000000" w:themeColor="text1"/>
          <w:sz w:val="22"/>
          <w:szCs w:val="22"/>
        </w:rPr>
        <w:t>.</w:t>
      </w:r>
    </w:p>
  </w:footnote>
  <w:footnote w:id="38">
    <w:p w14:paraId="01B6755D" w14:textId="77777777" w:rsidR="00FE1F94" w:rsidRPr="00E44DE1" w:rsidRDefault="00FE1F94" w:rsidP="00FE1F94">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Fiona Ross argued that the decision of the South African TRC to frame their work in terms of individual human rights and body harm, “elided questions of agency and resistance” for many women active in the struggle against apartheid.  This far-reaching critique of human rights as a frame and vocabulary for TJ is beyond the purview of this article, whose purpose is to explore increased attention to gender in TJ. Fiona C. Ross, </w:t>
      </w:r>
      <w:r w:rsidRPr="00E44DE1">
        <w:rPr>
          <w:rFonts w:ascii="Times New Roman" w:hAnsi="Times New Roman" w:cs="Times New Roman"/>
          <w:i/>
          <w:iCs/>
          <w:color w:val="000000" w:themeColor="text1"/>
          <w:sz w:val="22"/>
          <w:szCs w:val="22"/>
        </w:rPr>
        <w:t>Bearing Witness: Women and the Truth and Reconciliation Commission in South Africa</w:t>
      </w:r>
      <w:r w:rsidRPr="00E44DE1">
        <w:rPr>
          <w:rFonts w:ascii="Times New Roman" w:hAnsi="Times New Roman" w:cs="Times New Roman"/>
          <w:color w:val="000000" w:themeColor="text1"/>
          <w:sz w:val="22"/>
          <w:szCs w:val="22"/>
        </w:rPr>
        <w:t xml:space="preserve"> (London: Pluto Press, 2003). P. 1, p. 162. </w:t>
      </w:r>
    </w:p>
  </w:footnote>
  <w:footnote w:id="39">
    <w:p w14:paraId="4F268BF2" w14:textId="4ED9C63C" w:rsidR="00080E41" w:rsidRPr="00E44DE1" w:rsidRDefault="00080E41" w:rsidP="00080E41">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For example, Kenya cites South Africa, Tunisia cites Morocco, Gambia cites South Africa and Morocco.</w:t>
      </w:r>
    </w:p>
  </w:footnote>
  <w:footnote w:id="40">
    <w:p w14:paraId="72018C7C" w14:textId="28651E02" w:rsidR="004623B2" w:rsidRPr="00E44DE1" w:rsidRDefault="004623B2">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These categories are not mutually exclusive, because individual cases can have multiple victims.</w:t>
      </w:r>
    </w:p>
  </w:footnote>
  <w:footnote w:id="41">
    <w:p w14:paraId="34F117DC" w14:textId="36C2E417" w:rsidR="00F45B9A" w:rsidRPr="00E44DE1" w:rsidRDefault="00F45B9A">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001E5D71" w:rsidRPr="00E44DE1">
        <w:rPr>
          <w:rFonts w:ascii="Times New Roman" w:hAnsi="Times New Roman" w:cs="Times New Roman"/>
          <w:color w:val="000000" w:themeColor="text1"/>
          <w:sz w:val="22"/>
          <w:szCs w:val="22"/>
        </w:rPr>
        <w:t>For example, a</w:t>
      </w:r>
      <w:r w:rsidR="00A24B48" w:rsidRPr="00E44DE1">
        <w:rPr>
          <w:rFonts w:ascii="Times New Roman" w:hAnsi="Times New Roman" w:cs="Times New Roman"/>
          <w:color w:val="000000" w:themeColor="text1"/>
          <w:sz w:val="22"/>
          <w:szCs w:val="22"/>
        </w:rPr>
        <w:t xml:space="preserve"> Google</w:t>
      </w:r>
      <w:r w:rsidR="001E5D71"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t xml:space="preserve">Ngram for </w:t>
      </w:r>
      <w:r w:rsidR="00A24B48" w:rsidRPr="00E44DE1">
        <w:rPr>
          <w:rFonts w:ascii="Times New Roman" w:hAnsi="Times New Roman" w:cs="Times New Roman"/>
          <w:color w:val="000000" w:themeColor="text1"/>
          <w:sz w:val="22"/>
          <w:szCs w:val="22"/>
        </w:rPr>
        <w:t>S</w:t>
      </w:r>
      <w:r w:rsidR="001E5D71" w:rsidRPr="00E44DE1">
        <w:rPr>
          <w:rFonts w:ascii="Times New Roman" w:hAnsi="Times New Roman" w:cs="Times New Roman"/>
          <w:color w:val="000000" w:themeColor="text1"/>
          <w:sz w:val="22"/>
          <w:szCs w:val="22"/>
        </w:rPr>
        <w:t xml:space="preserve">GBV shows dramatic growth in the use of the term </w:t>
      </w:r>
      <w:r w:rsidR="00A24B48" w:rsidRPr="00E44DE1">
        <w:rPr>
          <w:rFonts w:ascii="Times New Roman" w:hAnsi="Times New Roman" w:cs="Times New Roman"/>
          <w:color w:val="000000" w:themeColor="text1"/>
          <w:sz w:val="22"/>
          <w:szCs w:val="22"/>
        </w:rPr>
        <w:t>S</w:t>
      </w:r>
      <w:r w:rsidR="001E5D71" w:rsidRPr="00E44DE1">
        <w:rPr>
          <w:rFonts w:ascii="Times New Roman" w:hAnsi="Times New Roman" w:cs="Times New Roman"/>
          <w:color w:val="000000" w:themeColor="text1"/>
          <w:sz w:val="22"/>
          <w:szCs w:val="22"/>
        </w:rPr>
        <w:t xml:space="preserve">GBV in 2000s. </w:t>
      </w:r>
    </w:p>
  </w:footnote>
  <w:footnote w:id="42">
    <w:p w14:paraId="4F622EFA" w14:textId="77777777" w:rsidR="00E4669A" w:rsidRPr="00E44DE1" w:rsidRDefault="00E4669A" w:rsidP="00E4669A">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Dyan Mazurana and Khristopher Carlson, “Reparations as a Means for Recognizing and Addressing Crimes and Grave Rights Violations against Girls and Boys during Situations of Armed Conflict and under Authoritarian and Dictatorial Regimes,” in </w:t>
      </w:r>
      <w:r w:rsidRPr="00E44DE1">
        <w:rPr>
          <w:rFonts w:ascii="Times New Roman" w:hAnsi="Times New Roman" w:cs="Times New Roman"/>
          <w:i/>
          <w:iCs/>
          <w:color w:val="000000" w:themeColor="text1"/>
          <w:sz w:val="22"/>
          <w:szCs w:val="22"/>
        </w:rPr>
        <w:t>The Gender of Reparations</w:t>
      </w:r>
      <w:r w:rsidRPr="00E44DE1">
        <w:rPr>
          <w:rFonts w:ascii="Times New Roman" w:hAnsi="Times New Roman" w:cs="Times New Roman"/>
          <w:color w:val="000000" w:themeColor="text1"/>
          <w:sz w:val="22"/>
          <w:szCs w:val="22"/>
        </w:rPr>
        <w:t>, ed. Ruth Rubio-Marin (Cambridge: Cambridge University Press, 2009).</w:t>
      </w:r>
    </w:p>
  </w:footnote>
  <w:footnote w:id="43">
    <w:p w14:paraId="58DF161D" w14:textId="4FEDD7B9" w:rsidR="00EA5EFE" w:rsidRPr="00E44DE1" w:rsidRDefault="00EA5EFE">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00E65274" w:rsidRPr="00E44DE1">
        <w:rPr>
          <w:rFonts w:ascii="Times New Roman" w:hAnsi="Times New Roman" w:cs="Times New Roman"/>
          <w:color w:val="000000" w:themeColor="text1"/>
          <w:sz w:val="22"/>
          <w:szCs w:val="22"/>
        </w:rPr>
        <w:t xml:space="preserve">Fiona C. Ross, </w:t>
      </w:r>
      <w:r w:rsidR="00E65274" w:rsidRPr="00E44DE1">
        <w:rPr>
          <w:rFonts w:ascii="Times New Roman" w:hAnsi="Times New Roman" w:cs="Times New Roman"/>
          <w:i/>
          <w:iCs/>
          <w:color w:val="000000" w:themeColor="text1"/>
          <w:sz w:val="22"/>
          <w:szCs w:val="22"/>
        </w:rPr>
        <w:t>Bearing Witness: Women and the Truth and Reconciliation Commission in South Africa</w:t>
      </w:r>
      <w:r w:rsidR="00E65274" w:rsidRPr="00E44DE1">
        <w:rPr>
          <w:rFonts w:ascii="Times New Roman" w:hAnsi="Times New Roman" w:cs="Times New Roman"/>
          <w:color w:val="000000" w:themeColor="text1"/>
          <w:sz w:val="22"/>
          <w:szCs w:val="22"/>
        </w:rPr>
        <w:t xml:space="preserve"> (London: Pluto Press, 2003</w:t>
      </w:r>
      <w:r w:rsidR="00E228E3" w:rsidRPr="00E44DE1">
        <w:rPr>
          <w:rFonts w:ascii="Times New Roman" w:hAnsi="Times New Roman" w:cs="Times New Roman"/>
          <w:color w:val="000000" w:themeColor="text1"/>
          <w:sz w:val="22"/>
          <w:szCs w:val="22"/>
        </w:rPr>
        <w:t>).</w:t>
      </w:r>
    </w:p>
  </w:footnote>
  <w:footnote w:id="44">
    <w:p w14:paraId="4342E2C3" w14:textId="78A782AE" w:rsidR="005E208B" w:rsidRPr="00E44DE1" w:rsidRDefault="005E208B">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00A67FC5" w:rsidRPr="00E44DE1">
        <w:rPr>
          <w:rFonts w:ascii="Times New Roman" w:hAnsi="Times New Roman" w:cs="Times New Roman"/>
          <w:color w:val="000000" w:themeColor="text1"/>
          <w:sz w:val="22"/>
          <w:szCs w:val="22"/>
        </w:rPr>
        <w:t>Kenya Truth and Reconciliation Commission Final Report, 2013, 18</w:t>
      </w:r>
      <w:r w:rsidR="004D321C" w:rsidRPr="00E44DE1">
        <w:rPr>
          <w:rFonts w:ascii="Times New Roman" w:hAnsi="Times New Roman" w:cs="Times New Roman"/>
          <w:color w:val="000000" w:themeColor="text1"/>
          <w:sz w:val="22"/>
          <w:szCs w:val="22"/>
        </w:rPr>
        <w:t>.</w:t>
      </w:r>
      <w:r w:rsidR="00AB475F" w:rsidRPr="00E44DE1">
        <w:rPr>
          <w:rFonts w:ascii="Times New Roman" w:hAnsi="Times New Roman" w:cs="Times New Roman"/>
          <w:color w:val="000000" w:themeColor="text1"/>
          <w:sz w:val="22"/>
          <w:szCs w:val="22"/>
        </w:rPr>
        <w:t xml:space="preserve"> </w:t>
      </w:r>
      <w:hyperlink r:id="rId5" w:history="1">
        <w:r w:rsidR="00AB475F" w:rsidRPr="00E44DE1">
          <w:rPr>
            <w:rStyle w:val="Hyperlink"/>
            <w:rFonts w:ascii="Times New Roman" w:hAnsi="Times New Roman" w:cs="Times New Roman"/>
            <w:color w:val="000000" w:themeColor="text1"/>
            <w:sz w:val="22"/>
            <w:szCs w:val="22"/>
            <w:u w:val="none"/>
          </w:rPr>
          <w:t>https://reparations.qub.ac.uk/assets/uploads/TJRC_report_Volume_4.pdf</w:t>
        </w:r>
      </w:hyperlink>
      <w:r w:rsidR="003E3972" w:rsidRPr="00E44DE1">
        <w:rPr>
          <w:rFonts w:ascii="Times New Roman" w:hAnsi="Times New Roman" w:cs="Times New Roman"/>
          <w:color w:val="000000" w:themeColor="text1"/>
          <w:sz w:val="22"/>
          <w:szCs w:val="22"/>
        </w:rPr>
        <w:t>.</w:t>
      </w:r>
    </w:p>
  </w:footnote>
  <w:footnote w:id="45">
    <w:p w14:paraId="5BBF006D" w14:textId="3277CAFE" w:rsidR="006E7E9E" w:rsidRPr="00E44DE1" w:rsidRDefault="006E7E9E" w:rsidP="006E7E9E">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Juan José</w:t>
      </w:r>
      <w:r w:rsidR="00ED21AF" w:rsidRPr="00E44DE1">
        <w:rPr>
          <w:rFonts w:ascii="Times New Roman" w:hAnsi="Times New Roman" w:cs="Times New Roman"/>
          <w:color w:val="000000" w:themeColor="text1"/>
          <w:sz w:val="22"/>
          <w:szCs w:val="22"/>
        </w:rPr>
        <w:t xml:space="preserve"> Verhelst</w:t>
      </w:r>
      <w:r w:rsidR="00A449A4" w:rsidRPr="00E44DE1">
        <w:rPr>
          <w:rFonts w:ascii="Times New Roman" w:hAnsi="Times New Roman" w:cs="Times New Roman"/>
          <w:color w:val="000000" w:themeColor="text1"/>
          <w:sz w:val="22"/>
          <w:szCs w:val="22"/>
        </w:rPr>
        <w:t>, “Voices from the Margins:</w:t>
      </w:r>
      <w:r w:rsidR="0048092A" w:rsidRPr="00E44DE1">
        <w:rPr>
          <w:rFonts w:ascii="Times New Roman" w:hAnsi="Times New Roman" w:cs="Times New Roman"/>
          <w:color w:val="000000" w:themeColor="text1"/>
          <w:sz w:val="22"/>
          <w:szCs w:val="22"/>
        </w:rPr>
        <w:t xml:space="preserve"> An Analysis of the Emerging LGBTIQ-</w:t>
      </w:r>
      <w:r w:rsidR="004849D4" w:rsidRPr="00E44DE1">
        <w:rPr>
          <w:rFonts w:ascii="Times New Roman" w:hAnsi="Times New Roman" w:cs="Times New Roman"/>
          <w:color w:val="000000" w:themeColor="text1"/>
          <w:sz w:val="22"/>
          <w:szCs w:val="22"/>
        </w:rPr>
        <w:t>s</w:t>
      </w:r>
      <w:r w:rsidR="0048092A" w:rsidRPr="00E44DE1">
        <w:rPr>
          <w:rFonts w:ascii="Times New Roman" w:hAnsi="Times New Roman" w:cs="Times New Roman"/>
          <w:color w:val="000000" w:themeColor="text1"/>
          <w:sz w:val="22"/>
          <w:szCs w:val="22"/>
        </w:rPr>
        <w:t>ubject of Truth Commissions</w:t>
      </w:r>
      <w:r w:rsidR="0067070F" w:rsidRPr="00E44DE1">
        <w:rPr>
          <w:rFonts w:ascii="Times New Roman" w:hAnsi="Times New Roman" w:cs="Times New Roman"/>
          <w:color w:val="000000" w:themeColor="text1"/>
          <w:sz w:val="22"/>
          <w:szCs w:val="22"/>
        </w:rPr>
        <w:t>,”</w:t>
      </w:r>
      <w:r w:rsidR="00B8518B" w:rsidRPr="00E44DE1">
        <w:rPr>
          <w:rFonts w:ascii="Times New Roman" w:hAnsi="Times New Roman" w:cs="Times New Roman"/>
          <w:color w:val="000000" w:themeColor="text1"/>
          <w:sz w:val="22"/>
          <w:szCs w:val="22"/>
        </w:rPr>
        <w:t xml:space="preserve"> Lund University,</w:t>
      </w:r>
      <w:r w:rsidRPr="00E44DE1">
        <w:rPr>
          <w:rFonts w:ascii="Times New Roman" w:hAnsi="Times New Roman" w:cs="Times New Roman"/>
          <w:color w:val="000000" w:themeColor="text1"/>
          <w:sz w:val="22"/>
          <w:szCs w:val="22"/>
        </w:rPr>
        <w:t xml:space="preserve"> 2018. https://lup.lub.lu.se/luur/download?func=downloadFile&amp;recordOId=8945719&amp;fileOId=8945720 (</w:t>
      </w:r>
      <w:r w:rsidR="00446F61" w:rsidRPr="00E44DE1">
        <w:rPr>
          <w:rFonts w:ascii="Times New Roman" w:hAnsi="Times New Roman" w:cs="Times New Roman"/>
          <w:color w:val="000000" w:themeColor="text1"/>
          <w:sz w:val="22"/>
          <w:szCs w:val="22"/>
        </w:rPr>
        <w:t xml:space="preserve">accessed </w:t>
      </w:r>
      <w:r w:rsidRPr="00E44DE1">
        <w:rPr>
          <w:rFonts w:ascii="Times New Roman" w:hAnsi="Times New Roman" w:cs="Times New Roman"/>
          <w:color w:val="000000" w:themeColor="text1"/>
          <w:sz w:val="22"/>
          <w:szCs w:val="22"/>
        </w:rPr>
        <w:t xml:space="preserve">April 24, 2023). </w:t>
      </w:r>
    </w:p>
  </w:footnote>
  <w:footnote w:id="46">
    <w:p w14:paraId="350FAC80" w14:textId="7F2D6F4E" w:rsidR="00207456" w:rsidRPr="00E44DE1" w:rsidRDefault="00207456" w:rsidP="00207456">
      <w:pPr>
        <w:pStyle w:val="FootnoteText"/>
        <w:rPr>
          <w:rFonts w:ascii="Times New Roman" w:hAnsi="Times New Roman" w:cs="Times New Roman"/>
          <w:color w:val="000000" w:themeColor="text1"/>
          <w:sz w:val="22"/>
          <w:szCs w:val="22"/>
          <w:lang w:val="es-CO"/>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lang w:val="es-CO"/>
        </w:rPr>
        <w:t xml:space="preserve"> Guatemala (2003), Sierra Leone (2004), Colombia (2005</w:t>
      </w:r>
      <w:r w:rsidR="00B45E69" w:rsidRPr="00E44DE1">
        <w:rPr>
          <w:rFonts w:ascii="Times New Roman" w:hAnsi="Times New Roman" w:cs="Times New Roman"/>
          <w:color w:val="000000" w:themeColor="text1"/>
          <w:sz w:val="22"/>
          <w:szCs w:val="22"/>
          <w:lang w:val="es-CO"/>
        </w:rPr>
        <w:t>, 2011</w:t>
      </w:r>
      <w:r w:rsidRPr="00E44DE1">
        <w:rPr>
          <w:rFonts w:ascii="Times New Roman" w:hAnsi="Times New Roman" w:cs="Times New Roman"/>
          <w:color w:val="000000" w:themeColor="text1"/>
          <w:sz w:val="22"/>
          <w:szCs w:val="22"/>
          <w:lang w:val="es-CO"/>
        </w:rPr>
        <w:t>), Peru (2005), and Sri Lanka (2018).</w:t>
      </w:r>
      <w:r w:rsidR="001E132B" w:rsidRPr="00E44DE1">
        <w:rPr>
          <w:rFonts w:ascii="Times New Roman" w:hAnsi="Times New Roman" w:cs="Times New Roman"/>
          <w:color w:val="000000" w:themeColor="text1"/>
          <w:sz w:val="22"/>
          <w:szCs w:val="22"/>
          <w:lang w:val="es-CO"/>
        </w:rPr>
        <w:t xml:space="preserve"> </w:t>
      </w:r>
      <w:r w:rsidR="001E132B" w:rsidRPr="00E44DE1">
        <w:rPr>
          <w:rFonts w:ascii="Times New Roman" w:hAnsi="Times New Roman" w:cs="Times New Roman"/>
          <w:color w:val="000000" w:themeColor="text1"/>
          <w:sz w:val="22"/>
          <w:szCs w:val="22"/>
        </w:rPr>
        <w:t xml:space="preserve">United Nations Office of the Special Representative of the Secretary General for Children and Armed Conflict, “The Gender Dimensions of Grave Violations Against Children In Armed Conflict,” May 2022, </w:t>
      </w:r>
      <w:hyperlink r:id="rId6" w:history="1">
        <w:r w:rsidR="001E132B" w:rsidRPr="00E44DE1">
          <w:rPr>
            <w:rStyle w:val="Hyperlink"/>
            <w:rFonts w:ascii="Times New Roman" w:hAnsi="Times New Roman" w:cs="Times New Roman"/>
            <w:color w:val="000000" w:themeColor="text1"/>
            <w:sz w:val="22"/>
            <w:szCs w:val="22"/>
            <w:u w:val="none"/>
          </w:rPr>
          <w:t>https://childrenandarmedconflict.un.org/wp-content/uploads/2022/05/UN_Gender-Dimensions-Grave-Violations-Against-Children-WEB-2.pdf</w:t>
        </w:r>
      </w:hyperlink>
      <w:r w:rsidR="001E132B" w:rsidRPr="00E44DE1">
        <w:rPr>
          <w:rFonts w:ascii="Times New Roman" w:hAnsi="Times New Roman" w:cs="Times New Roman"/>
          <w:color w:val="000000" w:themeColor="text1"/>
          <w:sz w:val="22"/>
          <w:szCs w:val="22"/>
        </w:rPr>
        <w:t xml:space="preserve">; Zorzeta Bakaki and Roos Haer, “The Impact of Climate Variability on Children: The Recruitment of Boys and Girls by Rebel Groups,” </w:t>
      </w:r>
      <w:r w:rsidR="001E132B" w:rsidRPr="00E44DE1">
        <w:rPr>
          <w:rFonts w:ascii="Times New Roman" w:hAnsi="Times New Roman" w:cs="Times New Roman"/>
          <w:i/>
          <w:iCs/>
          <w:color w:val="000000" w:themeColor="text1"/>
          <w:sz w:val="22"/>
          <w:szCs w:val="22"/>
        </w:rPr>
        <w:t>Journal of Peace Research</w:t>
      </w:r>
      <w:r w:rsidR="001E132B" w:rsidRPr="00E44DE1">
        <w:rPr>
          <w:rFonts w:ascii="Times New Roman" w:hAnsi="Times New Roman" w:cs="Times New Roman"/>
          <w:color w:val="000000" w:themeColor="text1"/>
          <w:sz w:val="22"/>
          <w:szCs w:val="22"/>
        </w:rPr>
        <w:t xml:space="preserve"> (August 2022), </w:t>
      </w:r>
      <w:hyperlink r:id="rId7" w:history="1">
        <w:r w:rsidR="001E132B" w:rsidRPr="00E44DE1">
          <w:rPr>
            <w:rStyle w:val="Hyperlink"/>
            <w:rFonts w:ascii="Times New Roman" w:hAnsi="Times New Roman" w:cs="Times New Roman"/>
            <w:color w:val="000000" w:themeColor="text1"/>
            <w:sz w:val="22"/>
            <w:szCs w:val="22"/>
            <w:u w:val="none"/>
          </w:rPr>
          <w:t>https://journals.sagepub.com/doi/full/10.1177/00223433221082120</w:t>
        </w:r>
      </w:hyperlink>
      <w:r w:rsidR="001E132B" w:rsidRPr="00E44DE1">
        <w:rPr>
          <w:rFonts w:ascii="Times New Roman" w:hAnsi="Times New Roman" w:cs="Times New Roman"/>
          <w:color w:val="000000" w:themeColor="text1"/>
          <w:sz w:val="22"/>
          <w:szCs w:val="22"/>
        </w:rPr>
        <w:t>.</w:t>
      </w:r>
    </w:p>
  </w:footnote>
  <w:footnote w:id="47">
    <w:p w14:paraId="13DA029D" w14:textId="78C9C9D9" w:rsidR="00862B5A" w:rsidRPr="00E44DE1" w:rsidRDefault="00862B5A" w:rsidP="00862B5A">
      <w:pPr>
        <w:pStyle w:val="FootnoteText"/>
        <w:rPr>
          <w:rFonts w:ascii="Times New Roman" w:hAnsi="Times New Roman" w:cs="Times New Roman"/>
          <w:iCs/>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iCs/>
          <w:color w:val="000000" w:themeColor="text1"/>
          <w:sz w:val="22"/>
          <w:szCs w:val="22"/>
        </w:rPr>
        <w:t>Sierra Leone, “Truth and Reconciliation Commission, Vol</w:t>
      </w:r>
      <w:r w:rsidR="00925E8C" w:rsidRPr="00E44DE1">
        <w:rPr>
          <w:rFonts w:ascii="Times New Roman" w:hAnsi="Times New Roman" w:cs="Times New Roman"/>
          <w:iCs/>
          <w:color w:val="000000" w:themeColor="text1"/>
          <w:sz w:val="22"/>
          <w:szCs w:val="22"/>
        </w:rPr>
        <w:t>.</w:t>
      </w:r>
      <w:r w:rsidRPr="00E44DE1">
        <w:rPr>
          <w:rFonts w:ascii="Times New Roman" w:hAnsi="Times New Roman" w:cs="Times New Roman"/>
          <w:iCs/>
          <w:color w:val="000000" w:themeColor="text1"/>
          <w:sz w:val="22"/>
          <w:szCs w:val="22"/>
        </w:rPr>
        <w:t xml:space="preserve"> 2, Chapter 4: Reparations,” October 5, 2004, </w:t>
      </w:r>
      <w:hyperlink r:id="rId8" w:history="1">
        <w:r w:rsidRPr="00E44DE1">
          <w:rPr>
            <w:rStyle w:val="Hyperlink"/>
            <w:rFonts w:ascii="Times New Roman" w:hAnsi="Times New Roman" w:cs="Times New Roman"/>
            <w:color w:val="000000" w:themeColor="text1"/>
            <w:sz w:val="22"/>
            <w:szCs w:val="22"/>
            <w:u w:val="none"/>
          </w:rPr>
          <w:t>https://reparations.qub.ac.uk/assets/uploads/Volume2Chapter4-2.pdf</w:t>
        </w:r>
      </w:hyperlink>
      <w:r w:rsidRPr="00E44DE1">
        <w:rPr>
          <w:rFonts w:ascii="Times New Roman" w:hAnsi="Times New Roman" w:cs="Times New Roman"/>
          <w:color w:val="000000" w:themeColor="text1"/>
          <w:sz w:val="22"/>
          <w:szCs w:val="22"/>
        </w:rPr>
        <w:t xml:space="preserve">. </w:t>
      </w:r>
    </w:p>
  </w:footnote>
  <w:footnote w:id="48">
    <w:p w14:paraId="2DA2F509" w14:textId="77777777" w:rsidR="00862B5A" w:rsidRPr="00E44DE1" w:rsidRDefault="00862B5A" w:rsidP="00862B5A">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Rwanda, Law N° 69/2008, Article 26, </w:t>
      </w:r>
      <w:hyperlink r:id="rId9" w:history="1">
        <w:r w:rsidRPr="00E44DE1">
          <w:rPr>
            <w:rStyle w:val="Hyperlink"/>
            <w:rFonts w:ascii="Times New Roman" w:hAnsi="Times New Roman" w:cs="Times New Roman"/>
            <w:color w:val="000000" w:themeColor="text1"/>
            <w:sz w:val="22"/>
            <w:szCs w:val="22"/>
            <w:u w:val="none"/>
          </w:rPr>
          <w:t>https://reparations.qub.ac.uk/assets/uploads/Official-Gazette-n%C2%B0-Special-of-15.04.2009-FARG.pdf</w:t>
        </w:r>
      </w:hyperlink>
    </w:p>
  </w:footnote>
  <w:footnote w:id="49">
    <w:p w14:paraId="79F523F6" w14:textId="0BC7A612" w:rsidR="00862B5A" w:rsidRPr="00E44DE1" w:rsidRDefault="00862B5A" w:rsidP="00862B5A">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Mali, Decree N°2022-0730, Article 15, Accessed through Scribd April 6, 2023, </w:t>
      </w:r>
      <w:hyperlink r:id="rId10" w:history="1">
        <w:r w:rsidRPr="00E44DE1">
          <w:rPr>
            <w:rStyle w:val="Hyperlink"/>
            <w:rFonts w:ascii="Times New Roman" w:hAnsi="Times New Roman" w:cs="Times New Roman"/>
            <w:color w:val="000000" w:themeColor="text1"/>
            <w:sz w:val="22"/>
            <w:szCs w:val="22"/>
            <w:u w:val="none"/>
          </w:rPr>
          <w:t>https://fr.scribd.com/document/629969376/mali-jo-2022-38</w:t>
        </w:r>
      </w:hyperlink>
      <w:r w:rsidRPr="00E44DE1">
        <w:rPr>
          <w:rFonts w:ascii="Times New Roman" w:hAnsi="Times New Roman" w:cs="Times New Roman"/>
          <w:color w:val="000000" w:themeColor="text1"/>
          <w:sz w:val="22"/>
          <w:szCs w:val="22"/>
        </w:rPr>
        <w:t>.</w:t>
      </w:r>
    </w:p>
  </w:footnote>
  <w:footnote w:id="50">
    <w:p w14:paraId="77972F72" w14:textId="1513ACB9" w:rsidR="00855ABD" w:rsidRPr="00E44DE1" w:rsidRDefault="00855ABD">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008D30C8" w:rsidRPr="00E44DE1">
        <w:rPr>
          <w:rFonts w:ascii="Times New Roman" w:hAnsi="Times New Roman" w:cs="Times New Roman"/>
          <w:color w:val="000000" w:themeColor="text1"/>
          <w:sz w:val="22"/>
          <w:szCs w:val="22"/>
        </w:rPr>
        <w:t>Instance Équité et Réconciliation (IER)</w:t>
      </w:r>
      <w:r w:rsidR="00E8467D" w:rsidRPr="00E44DE1">
        <w:rPr>
          <w:rFonts w:ascii="Times New Roman" w:hAnsi="Times New Roman" w:cs="Times New Roman"/>
          <w:color w:val="000000" w:themeColor="text1"/>
          <w:sz w:val="22"/>
          <w:szCs w:val="22"/>
        </w:rPr>
        <w:t xml:space="preserve">, </w:t>
      </w:r>
      <w:r w:rsidR="007114E4" w:rsidRPr="00E44DE1">
        <w:rPr>
          <w:rFonts w:ascii="Times New Roman" w:hAnsi="Times New Roman" w:cs="Times New Roman"/>
          <w:color w:val="000000" w:themeColor="text1"/>
          <w:sz w:val="22"/>
          <w:szCs w:val="22"/>
        </w:rPr>
        <w:t xml:space="preserve">Vol. </w:t>
      </w:r>
      <w:r w:rsidR="00CC1AE3" w:rsidRPr="00E44DE1">
        <w:rPr>
          <w:rFonts w:ascii="Times New Roman" w:hAnsi="Times New Roman" w:cs="Times New Roman"/>
          <w:color w:val="000000" w:themeColor="text1"/>
          <w:sz w:val="22"/>
          <w:szCs w:val="22"/>
        </w:rPr>
        <w:t>3.</w:t>
      </w:r>
    </w:p>
  </w:footnote>
  <w:footnote w:id="51">
    <w:p w14:paraId="22D61CC4" w14:textId="77777777" w:rsidR="00862B5A" w:rsidRPr="00E44DE1" w:rsidRDefault="00862B5A" w:rsidP="00862B5A">
      <w:pPr>
        <w:pStyle w:val="FootnoteText"/>
        <w:rPr>
          <w:rFonts w:ascii="Times New Roman" w:hAnsi="Times New Roman" w:cs="Times New Roman"/>
          <w:color w:val="000000" w:themeColor="text1"/>
          <w:sz w:val="22"/>
          <w:szCs w:val="22"/>
          <w:lang w:val="es-CO"/>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lang w:val="es-CO"/>
        </w:rPr>
        <w:t xml:space="preserve"> Colombia, “Ley 1448 De 2011: Ley de Víctimas y Restitución de Tierras,” Article 114.</w:t>
      </w:r>
    </w:p>
  </w:footnote>
  <w:footnote w:id="52">
    <w:p w14:paraId="73A33AB6" w14:textId="77777777" w:rsidR="001C73D3" w:rsidRPr="00E44DE1" w:rsidRDefault="001C73D3" w:rsidP="001C73D3">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Boutheina Ben Hassine, “Women in Tunisia,” in </w:t>
      </w:r>
      <w:r w:rsidRPr="00E44DE1">
        <w:rPr>
          <w:rFonts w:ascii="Times New Roman" w:hAnsi="Times New Roman" w:cs="Times New Roman"/>
          <w:i/>
          <w:iCs/>
          <w:color w:val="000000" w:themeColor="text1"/>
          <w:sz w:val="22"/>
          <w:szCs w:val="22"/>
        </w:rPr>
        <w:t>Oxford Research Encyclopedia of African History</w:t>
      </w:r>
      <w:r w:rsidRPr="00E44DE1">
        <w:rPr>
          <w:rFonts w:ascii="Times New Roman" w:hAnsi="Times New Roman" w:cs="Times New Roman"/>
          <w:color w:val="000000" w:themeColor="text1"/>
          <w:sz w:val="22"/>
          <w:szCs w:val="22"/>
        </w:rPr>
        <w:t>, 2020.</w:t>
      </w:r>
    </w:p>
  </w:footnote>
  <w:footnote w:id="53">
    <w:p w14:paraId="58103D45" w14:textId="77777777" w:rsidR="001C73D3" w:rsidRPr="00E44DE1" w:rsidRDefault="001C73D3" w:rsidP="001C73D3">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Ibid.</w:t>
      </w:r>
    </w:p>
  </w:footnote>
  <w:footnote w:id="54">
    <w:p w14:paraId="09C6DC79" w14:textId="6ED32E72" w:rsidR="001C73D3" w:rsidRPr="00E44DE1" w:rsidRDefault="001C73D3" w:rsidP="001C73D3">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00750CFD" w:rsidRPr="00E44DE1">
        <w:rPr>
          <w:rFonts w:ascii="Times New Roman" w:hAnsi="Times New Roman" w:cs="Times New Roman"/>
          <w:color w:val="000000" w:themeColor="text1"/>
          <w:sz w:val="22"/>
          <w:szCs w:val="22"/>
        </w:rPr>
        <w:t xml:space="preserve">George N. Sfeir, “The Tunisian Code of Personal Status (Majallat Al-Ahw Al Al-Shakhsiy Ah),” </w:t>
      </w:r>
      <w:r w:rsidR="00750CFD" w:rsidRPr="00E44DE1">
        <w:rPr>
          <w:rFonts w:ascii="Times New Roman" w:hAnsi="Times New Roman" w:cs="Times New Roman"/>
          <w:i/>
          <w:iCs/>
          <w:color w:val="000000" w:themeColor="text1"/>
          <w:sz w:val="22"/>
          <w:szCs w:val="22"/>
        </w:rPr>
        <w:t>Middle East Journal</w:t>
      </w:r>
      <w:r w:rsidR="00750CFD" w:rsidRPr="00E44DE1">
        <w:rPr>
          <w:rFonts w:ascii="Times New Roman" w:hAnsi="Times New Roman" w:cs="Times New Roman"/>
          <w:color w:val="000000" w:themeColor="text1"/>
          <w:sz w:val="22"/>
          <w:szCs w:val="22"/>
        </w:rPr>
        <w:t xml:space="preserve"> 11, no. 3 (1957): 309–18.</w:t>
      </w:r>
      <w:r w:rsidRPr="00E44DE1">
        <w:rPr>
          <w:rFonts w:ascii="Times New Roman" w:hAnsi="Times New Roman" w:cs="Times New Roman"/>
          <w:color w:val="000000" w:themeColor="text1"/>
          <w:sz w:val="22"/>
          <w:szCs w:val="22"/>
        </w:rPr>
        <w:t xml:space="preserve">Amel Grami, “Women, Feminism and Politics in Post-Revolution Tunisia: Framings, Accountability and Agency on Shifting Grounds,” </w:t>
      </w:r>
      <w:r w:rsidRPr="00E44DE1">
        <w:rPr>
          <w:rFonts w:ascii="Times New Roman" w:hAnsi="Times New Roman" w:cs="Times New Roman"/>
          <w:i/>
          <w:iCs/>
          <w:color w:val="000000" w:themeColor="text1"/>
          <w:sz w:val="22"/>
          <w:szCs w:val="22"/>
        </w:rPr>
        <w:t>Feminist Dissent</w:t>
      </w:r>
      <w:r w:rsidRPr="00E44DE1">
        <w:rPr>
          <w:rFonts w:ascii="Times New Roman" w:hAnsi="Times New Roman" w:cs="Times New Roman"/>
          <w:color w:val="000000" w:themeColor="text1"/>
          <w:sz w:val="22"/>
          <w:szCs w:val="22"/>
        </w:rPr>
        <w:t xml:space="preserve"> 3 (2018): 23–56.</w:t>
      </w:r>
    </w:p>
  </w:footnote>
  <w:footnote w:id="55">
    <w:p w14:paraId="2A3E6AD6" w14:textId="77777777" w:rsidR="001C73D3" w:rsidRPr="00E44DE1" w:rsidRDefault="001C73D3" w:rsidP="001C73D3">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Imen Yacoubi, “Sovereignty from Below: State Feminism and Politics of Women Against Women in Tunisia,” </w:t>
      </w:r>
      <w:r w:rsidRPr="00E44DE1">
        <w:rPr>
          <w:rFonts w:ascii="Times New Roman" w:hAnsi="Times New Roman" w:cs="Times New Roman"/>
          <w:i/>
          <w:iCs/>
          <w:color w:val="000000" w:themeColor="text1"/>
          <w:sz w:val="22"/>
          <w:szCs w:val="22"/>
        </w:rPr>
        <w:t>Arab Studies Journal</w:t>
      </w:r>
      <w:r w:rsidRPr="00E44DE1">
        <w:rPr>
          <w:rFonts w:ascii="Times New Roman" w:hAnsi="Times New Roman" w:cs="Times New Roman"/>
          <w:color w:val="000000" w:themeColor="text1"/>
          <w:sz w:val="22"/>
          <w:szCs w:val="22"/>
        </w:rPr>
        <w:t xml:space="preserve"> 24, no. 1 (Spring 2016): 259.</w:t>
      </w:r>
    </w:p>
  </w:footnote>
  <w:footnote w:id="56">
    <w:p w14:paraId="35FCE0BA" w14:textId="795B9637" w:rsidR="00500D98" w:rsidRPr="00E44DE1" w:rsidRDefault="00500D98">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00D77519" w:rsidRPr="00E44DE1">
        <w:rPr>
          <w:rFonts w:ascii="Times New Roman" w:hAnsi="Times New Roman" w:cs="Times New Roman"/>
          <w:color w:val="000000" w:themeColor="text1"/>
          <w:sz w:val="22"/>
          <w:szCs w:val="22"/>
        </w:rPr>
        <w:t>Interview</w:t>
      </w:r>
      <w:r w:rsidR="00322A4E" w:rsidRPr="00E44DE1">
        <w:rPr>
          <w:rFonts w:ascii="Times New Roman" w:hAnsi="Times New Roman" w:cs="Times New Roman"/>
          <w:color w:val="000000" w:themeColor="text1"/>
          <w:sz w:val="22"/>
          <w:szCs w:val="22"/>
        </w:rPr>
        <w:t xml:space="preserve"> with President Moncef Marzouki, Nov</w:t>
      </w:r>
      <w:r w:rsidR="007627A9" w:rsidRPr="00E44DE1">
        <w:rPr>
          <w:rFonts w:ascii="Times New Roman" w:hAnsi="Times New Roman" w:cs="Times New Roman"/>
          <w:color w:val="000000" w:themeColor="text1"/>
          <w:sz w:val="22"/>
          <w:szCs w:val="22"/>
        </w:rPr>
        <w:t>ember</w:t>
      </w:r>
      <w:r w:rsidR="00322A4E" w:rsidRPr="00E44DE1">
        <w:rPr>
          <w:rFonts w:ascii="Times New Roman" w:hAnsi="Times New Roman" w:cs="Times New Roman"/>
          <w:color w:val="000000" w:themeColor="text1"/>
          <w:sz w:val="22"/>
          <w:szCs w:val="22"/>
        </w:rPr>
        <w:t xml:space="preserve"> 1</w:t>
      </w:r>
      <w:r w:rsidR="007627A9" w:rsidRPr="00E44DE1">
        <w:rPr>
          <w:rFonts w:ascii="Times New Roman" w:hAnsi="Times New Roman" w:cs="Times New Roman"/>
          <w:color w:val="000000" w:themeColor="text1"/>
          <w:sz w:val="22"/>
          <w:szCs w:val="22"/>
        </w:rPr>
        <w:t>8</w:t>
      </w:r>
      <w:r w:rsidR="00322A4E" w:rsidRPr="00E44DE1">
        <w:rPr>
          <w:rFonts w:ascii="Times New Roman" w:hAnsi="Times New Roman" w:cs="Times New Roman"/>
          <w:color w:val="000000" w:themeColor="text1"/>
          <w:sz w:val="22"/>
          <w:szCs w:val="22"/>
        </w:rPr>
        <w:t>, 2022.</w:t>
      </w:r>
    </w:p>
  </w:footnote>
  <w:footnote w:id="57">
    <w:p w14:paraId="379562C1" w14:textId="77777777" w:rsidR="001C73D3" w:rsidRPr="00E44DE1" w:rsidRDefault="001C73D3" w:rsidP="001C73D3">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Interview with an anonymous researcher affiliated with IVD. </w:t>
      </w:r>
    </w:p>
  </w:footnote>
  <w:footnote w:id="58">
    <w:p w14:paraId="78FA617C" w14:textId="77777777" w:rsidR="001C73D3" w:rsidRPr="00E44DE1" w:rsidRDefault="001C73D3" w:rsidP="001C73D3">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Tunisia, Organic Law No. 2013-53 Establishing and Organizing Transitional Justice, 2013 (Unofficial English Translation by the International Center for Transitional Justice), https://www.ohchr.org/sites/default/files/Documents/Countries/TN/TransitionalJusticeTunisia.pdf</w:t>
      </w:r>
    </w:p>
  </w:footnote>
  <w:footnote w:id="59">
    <w:p w14:paraId="3F0509F6" w14:textId="187DC728" w:rsidR="00750CFD" w:rsidRPr="00E44DE1" w:rsidRDefault="00750CFD">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Interview with </w:t>
      </w:r>
      <w:r w:rsidR="0009525F" w:rsidRPr="00E44DE1">
        <w:rPr>
          <w:rFonts w:ascii="Times New Roman" w:hAnsi="Times New Roman" w:cs="Times New Roman"/>
          <w:color w:val="000000" w:themeColor="text1"/>
          <w:sz w:val="22"/>
          <w:szCs w:val="22"/>
        </w:rPr>
        <w:t xml:space="preserve">Youssef Chahed, former </w:t>
      </w:r>
      <w:r w:rsidRPr="00E44DE1">
        <w:rPr>
          <w:rFonts w:ascii="Times New Roman" w:hAnsi="Times New Roman" w:cs="Times New Roman"/>
          <w:color w:val="000000" w:themeColor="text1"/>
          <w:sz w:val="22"/>
          <w:szCs w:val="22"/>
        </w:rPr>
        <w:t xml:space="preserve">Prime Minister </w:t>
      </w:r>
      <w:r w:rsidR="0009525F" w:rsidRPr="00E44DE1">
        <w:rPr>
          <w:rFonts w:ascii="Times New Roman" w:hAnsi="Times New Roman" w:cs="Times New Roman"/>
          <w:color w:val="000000" w:themeColor="text1"/>
          <w:sz w:val="22"/>
          <w:szCs w:val="22"/>
        </w:rPr>
        <w:t xml:space="preserve">of Tunisia, Cambridge, MA (add date and get permission from Chahed to cite him on this specific issue).  Add also footnote to the source Helen read that also reports few payments. </w:t>
      </w:r>
    </w:p>
  </w:footnote>
  <w:footnote w:id="60">
    <w:p w14:paraId="387AD2A0" w14:textId="77777777" w:rsidR="001C73D3" w:rsidRPr="00E44DE1" w:rsidRDefault="001C73D3" w:rsidP="001C73D3">
      <w:pPr>
        <w:pStyle w:val="FootnoteText"/>
        <w:rPr>
          <w:rFonts w:ascii="Times New Roman" w:hAnsi="Times New Roman" w:cs="Times New Roman"/>
          <w:color w:val="000000" w:themeColor="text1"/>
          <w:sz w:val="22"/>
          <w:szCs w:val="22"/>
          <w:lang w:val="en-GB"/>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lang w:val="en-GB"/>
        </w:rPr>
        <w:t xml:space="preserve">Tunisia Truth &amp; Dignity Commission, </w:t>
      </w:r>
      <w:r w:rsidRPr="00E44DE1">
        <w:rPr>
          <w:rFonts w:ascii="Times New Roman" w:hAnsi="Times New Roman" w:cs="Times New Roman"/>
          <w:i/>
          <w:iCs/>
          <w:color w:val="000000" w:themeColor="text1"/>
          <w:sz w:val="22"/>
          <w:szCs w:val="22"/>
          <w:lang w:val="en-GB"/>
        </w:rPr>
        <w:t>The Final Comprehensive Report: Executive Summary, Part 6: Reparation and Rehabilitation</w:t>
      </w:r>
      <w:r w:rsidRPr="00E44DE1">
        <w:rPr>
          <w:rFonts w:ascii="Times New Roman" w:hAnsi="Times New Roman" w:cs="Times New Roman"/>
          <w:color w:val="000000" w:themeColor="text1"/>
          <w:sz w:val="22"/>
          <w:szCs w:val="22"/>
          <w:lang w:val="en-GB"/>
        </w:rPr>
        <w:t xml:space="preserve"> (Translated into English by Avocats Sans Frontieres, May 2019), </w:t>
      </w:r>
      <w:hyperlink r:id="rId11" w:history="1">
        <w:r w:rsidRPr="00E44DE1">
          <w:rPr>
            <w:rStyle w:val="Hyperlink"/>
            <w:rFonts w:ascii="Times New Roman" w:hAnsi="Times New Roman" w:cs="Times New Roman"/>
            <w:color w:val="000000" w:themeColor="text1"/>
            <w:sz w:val="22"/>
            <w:szCs w:val="22"/>
            <w:u w:val="none"/>
            <w:lang w:val="en-GB"/>
          </w:rPr>
          <w:t>http://www.ivd.tn/rapport/doc/TDC_executive_summary_report.pdf</w:t>
        </w:r>
      </w:hyperlink>
      <w:r w:rsidRPr="00E44DE1">
        <w:rPr>
          <w:rFonts w:ascii="Times New Roman" w:hAnsi="Times New Roman" w:cs="Times New Roman"/>
          <w:color w:val="000000" w:themeColor="text1"/>
          <w:sz w:val="22"/>
          <w:szCs w:val="22"/>
        </w:rPr>
        <w:t>.</w:t>
      </w:r>
    </w:p>
  </w:footnote>
  <w:footnote w:id="61">
    <w:p w14:paraId="5AEF1246" w14:textId="77777777" w:rsidR="001C73D3" w:rsidRPr="00E44DE1" w:rsidRDefault="001C73D3" w:rsidP="001C73D3">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Ibid.</w:t>
      </w:r>
    </w:p>
  </w:footnote>
  <w:footnote w:id="62">
    <w:p w14:paraId="23FB83BD" w14:textId="77777777" w:rsidR="00AC07B1" w:rsidRPr="00E44DE1" w:rsidRDefault="00AC07B1" w:rsidP="00AC07B1">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César Rodríguez-Garavito and Diana Rodríguez-Franco, </w:t>
      </w:r>
      <w:r w:rsidRPr="00E44DE1">
        <w:rPr>
          <w:rFonts w:ascii="Times New Roman" w:hAnsi="Times New Roman" w:cs="Times New Roman"/>
          <w:i/>
          <w:iCs/>
          <w:color w:val="000000" w:themeColor="text1"/>
          <w:sz w:val="22"/>
          <w:szCs w:val="22"/>
        </w:rPr>
        <w:t>Radical Deprivation on Trial: The Impact of Judicial Activism on Socioeconomic Rights in the Global South</w:t>
      </w:r>
      <w:r w:rsidRPr="00E44DE1">
        <w:rPr>
          <w:rFonts w:ascii="Times New Roman" w:hAnsi="Times New Roman" w:cs="Times New Roman"/>
          <w:color w:val="000000" w:themeColor="text1"/>
          <w:sz w:val="22"/>
          <w:szCs w:val="22"/>
        </w:rPr>
        <w:t xml:space="preserve"> (Cambridge: Cambridge University Press, 2015).</w:t>
      </w:r>
    </w:p>
  </w:footnote>
  <w:footnote w:id="63">
    <w:p w14:paraId="7D722703" w14:textId="77777777" w:rsidR="0009525F" w:rsidRPr="00E44DE1" w:rsidRDefault="0009525F" w:rsidP="0009525F">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Inguanzo, Isabel, and Angelica Rodriguez. 2023. ‘Analysis of the Colombian Constitutional Court’s Transformative Approach to Conflict-Related Sexual Violence’. </w:t>
      </w:r>
      <w:r w:rsidRPr="00E44DE1">
        <w:rPr>
          <w:rFonts w:ascii="Times New Roman" w:hAnsi="Times New Roman" w:cs="Times New Roman"/>
          <w:i/>
          <w:iCs/>
          <w:color w:val="000000" w:themeColor="text1"/>
          <w:sz w:val="22"/>
          <w:szCs w:val="22"/>
          <w:lang w:val="es-CO"/>
        </w:rPr>
        <w:t>Social &amp; Legal Studies</w:t>
      </w:r>
      <w:r w:rsidRPr="00E44DE1">
        <w:rPr>
          <w:rFonts w:ascii="Times New Roman" w:hAnsi="Times New Roman" w:cs="Times New Roman"/>
          <w:color w:val="000000" w:themeColor="text1"/>
          <w:sz w:val="22"/>
          <w:szCs w:val="22"/>
          <w:lang w:val="es-CO"/>
        </w:rPr>
        <w:t xml:space="preserve">. </w:t>
      </w:r>
    </w:p>
  </w:footnote>
  <w:footnote w:id="64">
    <w:p w14:paraId="11AB8E36" w14:textId="77777777" w:rsidR="00AC07B1" w:rsidRPr="00E44DE1" w:rsidRDefault="00AC07B1" w:rsidP="00AC07B1">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lang w:val="en"/>
        </w:rPr>
        <w:t xml:space="preserve"> Garcés-Amaya, Diana Paola. 2023. 'Of silences and openings: recognition of the victimizations of LGBTQI social sectors in recent models of Transitional Justice in Colombia'. </w:t>
      </w:r>
      <w:r w:rsidRPr="00E44DE1">
        <w:rPr>
          <w:rFonts w:ascii="Times New Roman" w:hAnsi="Times New Roman" w:cs="Times New Roman"/>
          <w:i/>
          <w:iCs/>
          <w:color w:val="000000" w:themeColor="text1"/>
          <w:sz w:val="22"/>
          <w:szCs w:val="22"/>
          <w:lang w:val="en"/>
        </w:rPr>
        <w:t xml:space="preserve">Journal of Social Studies </w:t>
      </w:r>
      <w:r w:rsidRPr="00E44DE1">
        <w:rPr>
          <w:rFonts w:ascii="Times New Roman" w:hAnsi="Times New Roman" w:cs="Times New Roman"/>
          <w:color w:val="000000" w:themeColor="text1"/>
          <w:sz w:val="22"/>
          <w:szCs w:val="22"/>
          <w:lang w:val="en"/>
        </w:rPr>
        <w:t>(83): 23–40.</w:t>
      </w:r>
    </w:p>
  </w:footnote>
  <w:footnote w:id="65">
    <w:p w14:paraId="250AF9D5" w14:textId="0A57D194" w:rsidR="00EB0610" w:rsidRPr="00E44DE1" w:rsidRDefault="00EB0610" w:rsidP="00EB0610">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lang w:val="es-CO"/>
        </w:rPr>
        <w:t xml:space="preserve"> </w:t>
      </w:r>
      <w:r w:rsidR="00A60772" w:rsidRPr="00E44DE1">
        <w:rPr>
          <w:rFonts w:ascii="Times New Roman" w:hAnsi="Times New Roman" w:cs="Times New Roman"/>
          <w:color w:val="000000" w:themeColor="text1"/>
          <w:sz w:val="22"/>
          <w:szCs w:val="22"/>
          <w:lang w:val="es-CO"/>
        </w:rPr>
        <w:t xml:space="preserve">Liliana Chaparro </w:t>
      </w:r>
      <w:r w:rsidRPr="00E44DE1">
        <w:rPr>
          <w:rFonts w:ascii="Times New Roman" w:hAnsi="Times New Roman" w:cs="Times New Roman"/>
          <w:color w:val="000000" w:themeColor="text1"/>
          <w:sz w:val="22"/>
          <w:szCs w:val="22"/>
          <w:lang w:val="es-CO"/>
        </w:rPr>
        <w:t>Moreno, Cecilia Barraza Morelle, Marcela Rodríguez Cuéllar, and Laura Carolina Velásquez Gil</w:t>
      </w:r>
      <w:r w:rsidR="00E433A1" w:rsidRPr="00E44DE1">
        <w:rPr>
          <w:rFonts w:ascii="Times New Roman" w:hAnsi="Times New Roman" w:cs="Times New Roman"/>
          <w:color w:val="000000" w:themeColor="text1"/>
          <w:sz w:val="22"/>
          <w:szCs w:val="22"/>
          <w:lang w:val="es-CO"/>
        </w:rPr>
        <w:t>, “</w:t>
      </w:r>
      <w:r w:rsidR="00D6314F" w:rsidRPr="00E44DE1">
        <w:rPr>
          <w:rFonts w:ascii="Times New Roman" w:hAnsi="Times New Roman" w:cs="Times New Roman"/>
          <w:color w:val="000000" w:themeColor="text1"/>
          <w:sz w:val="22"/>
          <w:szCs w:val="22"/>
        </w:rPr>
        <w:t>Sexual violence and transitional justice in Colombia. Analysis of sexual violence as part of the macrocriminality pattern of gender-based violence in Justice and Peace sentences (2010 - 2021)</w:t>
      </w:r>
      <w:r w:rsidR="00F443BF"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i/>
          <w:iCs/>
          <w:color w:val="000000" w:themeColor="text1"/>
          <w:sz w:val="22"/>
          <w:szCs w:val="22"/>
        </w:rPr>
        <w:t>Criminal Law and Criminology</w:t>
      </w:r>
      <w:r w:rsidRPr="00E44DE1">
        <w:rPr>
          <w:rFonts w:ascii="Times New Roman" w:hAnsi="Times New Roman" w:cs="Times New Roman"/>
          <w:color w:val="000000" w:themeColor="text1"/>
          <w:sz w:val="22"/>
          <w:szCs w:val="22"/>
        </w:rPr>
        <w:t xml:space="preserve"> 43</w:t>
      </w:r>
      <w:r w:rsidR="0055628F" w:rsidRPr="00E44DE1">
        <w:rPr>
          <w:rFonts w:ascii="Times New Roman" w:hAnsi="Times New Roman" w:cs="Times New Roman"/>
          <w:color w:val="000000" w:themeColor="text1"/>
          <w:sz w:val="22"/>
          <w:szCs w:val="22"/>
        </w:rPr>
        <w:t xml:space="preserve"> no. 114 (2022)</w:t>
      </w:r>
      <w:r w:rsidRPr="00E44DE1">
        <w:rPr>
          <w:rFonts w:ascii="Times New Roman" w:hAnsi="Times New Roman" w:cs="Times New Roman"/>
          <w:color w:val="000000" w:themeColor="text1"/>
          <w:sz w:val="22"/>
          <w:szCs w:val="22"/>
        </w:rPr>
        <w:t>: 115–77.</w:t>
      </w:r>
    </w:p>
  </w:footnote>
  <w:footnote w:id="66">
    <w:p w14:paraId="4132871E" w14:textId="26E55FD9" w:rsidR="00EB0610" w:rsidRPr="00E44DE1" w:rsidRDefault="00EB0610" w:rsidP="00EB0610">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lang w:val="en"/>
        </w:rPr>
        <w:t xml:space="preserve"> </w:t>
      </w:r>
      <w:r w:rsidR="00201A64" w:rsidRPr="00E44DE1">
        <w:rPr>
          <w:rFonts w:ascii="Times New Roman" w:hAnsi="Times New Roman" w:cs="Times New Roman"/>
          <w:color w:val="000000" w:themeColor="text1"/>
          <w:sz w:val="22"/>
          <w:szCs w:val="22"/>
          <w:lang w:val="en"/>
        </w:rPr>
        <w:t xml:space="preserve">Diana Paola </w:t>
      </w:r>
      <w:r w:rsidRPr="00E44DE1">
        <w:rPr>
          <w:rFonts w:ascii="Times New Roman" w:hAnsi="Times New Roman" w:cs="Times New Roman"/>
          <w:color w:val="000000" w:themeColor="text1"/>
          <w:sz w:val="22"/>
          <w:szCs w:val="22"/>
          <w:lang w:val="en"/>
        </w:rPr>
        <w:t>Garcés-Amaya,</w:t>
      </w:r>
      <w:r w:rsidR="004A244A" w:rsidRPr="00E44DE1">
        <w:rPr>
          <w:rFonts w:ascii="Times New Roman" w:hAnsi="Times New Roman" w:cs="Times New Roman"/>
          <w:color w:val="000000" w:themeColor="text1"/>
          <w:sz w:val="22"/>
          <w:szCs w:val="22"/>
          <w:lang w:val="en"/>
        </w:rPr>
        <w:t xml:space="preserve"> </w:t>
      </w:r>
      <w:r w:rsidR="000A7088" w:rsidRPr="00E44DE1">
        <w:rPr>
          <w:rFonts w:ascii="Times New Roman" w:hAnsi="Times New Roman" w:cs="Times New Roman"/>
          <w:color w:val="000000" w:themeColor="text1"/>
          <w:sz w:val="22"/>
          <w:szCs w:val="22"/>
          <w:lang w:val="en"/>
        </w:rPr>
        <w:t>“</w:t>
      </w:r>
      <w:r w:rsidRPr="00E44DE1">
        <w:rPr>
          <w:rFonts w:ascii="Times New Roman" w:hAnsi="Times New Roman" w:cs="Times New Roman"/>
          <w:color w:val="000000" w:themeColor="text1"/>
          <w:sz w:val="22"/>
          <w:szCs w:val="22"/>
          <w:lang w:val="en"/>
        </w:rPr>
        <w:t>Of silences and openings: recognition of the victimizations of LGBTI social sectors in recent models of Transitional Justice in Colombia</w:t>
      </w:r>
      <w:r w:rsidR="00B50AAB" w:rsidRPr="00E44DE1">
        <w:rPr>
          <w:rFonts w:ascii="Times New Roman" w:hAnsi="Times New Roman" w:cs="Times New Roman"/>
          <w:color w:val="000000" w:themeColor="text1"/>
          <w:sz w:val="22"/>
          <w:szCs w:val="22"/>
          <w:lang w:val="en"/>
        </w:rPr>
        <w:t xml:space="preserve">,” </w:t>
      </w:r>
      <w:r w:rsidR="00B50AAB" w:rsidRPr="00E44DE1">
        <w:rPr>
          <w:rFonts w:ascii="Times New Roman" w:hAnsi="Times New Roman" w:cs="Times New Roman"/>
          <w:i/>
          <w:iCs/>
          <w:color w:val="000000" w:themeColor="text1"/>
          <w:sz w:val="22"/>
          <w:szCs w:val="22"/>
          <w:lang w:val="en"/>
        </w:rPr>
        <w:t xml:space="preserve">Journal of Social Studies </w:t>
      </w:r>
      <w:r w:rsidR="00B50AAB" w:rsidRPr="00E44DE1">
        <w:rPr>
          <w:rFonts w:ascii="Times New Roman" w:hAnsi="Times New Roman" w:cs="Times New Roman"/>
          <w:color w:val="000000" w:themeColor="text1"/>
          <w:sz w:val="22"/>
          <w:szCs w:val="22"/>
          <w:lang w:val="en"/>
        </w:rPr>
        <w:t xml:space="preserve">83 (2023): </w:t>
      </w:r>
      <w:r w:rsidRPr="00E44DE1">
        <w:rPr>
          <w:rFonts w:ascii="Times New Roman" w:hAnsi="Times New Roman" w:cs="Times New Roman"/>
          <w:color w:val="000000" w:themeColor="text1"/>
          <w:sz w:val="22"/>
          <w:szCs w:val="22"/>
          <w:lang w:val="en"/>
        </w:rPr>
        <w:t>23–40.</w:t>
      </w:r>
    </w:p>
  </w:footnote>
  <w:footnote w:id="67">
    <w:p w14:paraId="06658CA9" w14:textId="4A4A9E3A" w:rsidR="00661A6B" w:rsidRPr="00E44DE1" w:rsidRDefault="00661A6B" w:rsidP="00661A6B">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https://www.ohchr.org/sites/default/files/documents/issues/sexualorientation/cfi-report-ga77/others/2022-11-10/GRN-Submission.pdf</w:t>
      </w:r>
    </w:p>
  </w:footnote>
  <w:footnote w:id="68">
    <w:p w14:paraId="29C792A8" w14:textId="4889BE3F" w:rsidR="00665D05" w:rsidRPr="00E44DE1" w:rsidRDefault="00665D05">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{"citationID":"ZZeg4duE","properties":{"formattedCitation":"Vandermaas-Peeler, Subotic, and Barnett, \\uc0\\u8220{}Constructing Victims.\\uc0\\u8221{}","plainCitation":"Vandermaas-Peeler, Subotic, and Barnett, “Constructing Victims.”","noteIndex":72},"citationItems":[{"id":13134,"uris":["http://zotero.org/groups/2727724/items/B95T6Y4V"],"itemData":{"id":13134,"type":"article-journal","abstract":"What is the basis of status in world order? Status is assumed to come from strength, even if strength is reconfigured to be social and normative, not just material. Status, however, can also come from perceived weakness – it is conferred to those recognised as ‘victims’. We make four theoretical contributions to the scholarship on status in world affairs. First, we examine how the category of victim is produced. Two, we expand the possible sources of status in world affairs by adding the category of victim. Three, focus on victimhood status further demonstrates that status is independent of material power. Lastly, victimhood as status exhibits the paradox that power depends on perceived powerlessness. We illustrate these arguments with three features of victim status in modern international politics: the changing desirability of victim status in Israel, the gendered construction of ideal victim in the Congo, and the hierarchy of victimhood in Bosnia.","container-title":"Review of International Studies","DOI":"10.1017/S0260210522000596","ISSN":"0260-2105, 1469-9044","language":"en","note":"publisher: Cambridge University Press","page":"1-19","source":"Cambridge University Press","title":"Constructing victims: Suffering and status in modern world order","title-short":"Constructing victims","author":[{"family":"Vandermaas-Peeler","given":"Alex"},{"family":"Subotic","given":"Jelena"},{"family":"Barnett","given":"Michael"}],"issued":{"date-parts":[["2022",12,22]]}}}],"schema":"https://github.com/citation-style-language/schema/raw/master/csl-citation.json"}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Vandermaas-Peeler, Subotic, and Barnett, “Constructing Victims.”</w:t>
      </w:r>
      <w:r w:rsidRPr="00E44DE1">
        <w:rPr>
          <w:rFonts w:ascii="Times New Roman" w:hAnsi="Times New Roman" w:cs="Times New Roman"/>
          <w:color w:val="000000" w:themeColor="text1"/>
          <w:sz w:val="22"/>
          <w:szCs w:val="22"/>
        </w:rPr>
        <w:fldChar w:fldCharType="end"/>
      </w:r>
    </w:p>
  </w:footnote>
  <w:footnote w:id="69">
    <w:p w14:paraId="7C31B67D" w14:textId="4C432AC5" w:rsidR="00665D05" w:rsidRPr="00E44DE1" w:rsidRDefault="00665D05">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{"citationID":"5ONArQMR","properties":{"formattedCitation":"Vandermaas-Peeler, Subotic, and Barnett.","plainCitation":"Vandermaas-Peeler, Subotic, and Barnett.","dontUpdate":true,"noteIndex":73},"citationItems":[{"id":13134,"uris":["http://zotero.org/groups/2727724/items/B95T6Y4V"],"itemData":{"id":13134,"type":"article-journal","abstract":"What is the basis of status in world order? Status is assumed to come from strength, even if strength is reconfigured to be social and normative, not just material. Status, however, can also come from perceived weakness – it is conferred to those recognised as ‘victims’. We make four theoretical contributions to the scholarship on status in world affairs. First, we examine how the category of victim is produced. Two, we expand the possible sources of status in world affairs by adding the category of victim. Three, focus on victimhood status further demonstrates that status is independent of material power. Lastly, victimhood as status exhibits the paradox that power depends on perceived powerlessness. We illustrate these arguments with three features of victim status in modern international politics: the changing desirability of victim status in Israel, the gendered construction of ideal victim in the Congo, and the hierarchy of victimhood in Bosnia.","container-title":"Review of International Studies","DOI":"10.1017/S0260210522000596","ISSN":"0260-2105, 1469-9044","language":"en","note":"publisher: Cambridge University Press","page":"1-19","source":"Cambridge University Press","title":"Constructing victims: Suffering and status in modern world order","title-short":"Constructing victims","author":[{"family":"Vandermaas-Peeler","given":"Alex"},{"family":"Subotic","given":"Jelena"},{"family":"Barnett","given":"Michael"}],"issued":{"date-parts":[["2022",12,22]]}}}],"schema":"https://github.com/citation-style-language/schema/raw/master/csl-citation.json"}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noProof/>
          <w:color w:val="000000" w:themeColor="text1"/>
          <w:sz w:val="22"/>
          <w:szCs w:val="22"/>
        </w:rPr>
        <w:t>Vandermaas-Peeler, Subotic, and Barnett</w:t>
      </w:r>
      <w:r w:rsidR="0035584B" w:rsidRPr="00E44DE1">
        <w:rPr>
          <w:rFonts w:ascii="Times New Roman" w:hAnsi="Times New Roman" w:cs="Times New Roman"/>
          <w:noProof/>
          <w:color w:val="000000" w:themeColor="text1"/>
          <w:sz w:val="22"/>
          <w:szCs w:val="22"/>
        </w:rPr>
        <w:t>, "Constructing Victims</w:t>
      </w:r>
      <w:r w:rsidRPr="00E44DE1">
        <w:rPr>
          <w:rFonts w:ascii="Times New Roman" w:hAnsi="Times New Roman" w:cs="Times New Roman"/>
          <w:noProof/>
          <w:color w:val="000000" w:themeColor="text1"/>
          <w:sz w:val="22"/>
          <w:szCs w:val="22"/>
        </w:rPr>
        <w:t>.</w:t>
      </w:r>
      <w:r w:rsidRPr="00E44DE1">
        <w:rPr>
          <w:rFonts w:ascii="Times New Roman" w:hAnsi="Times New Roman" w:cs="Times New Roman"/>
          <w:color w:val="000000" w:themeColor="text1"/>
          <w:sz w:val="22"/>
          <w:szCs w:val="22"/>
        </w:rPr>
        <w:fldChar w:fldCharType="end"/>
      </w:r>
      <w:r w:rsidR="0035584B" w:rsidRPr="00E44DE1">
        <w:rPr>
          <w:rFonts w:ascii="Times New Roman" w:hAnsi="Times New Roman" w:cs="Times New Roman"/>
          <w:color w:val="000000" w:themeColor="text1"/>
          <w:sz w:val="22"/>
          <w:szCs w:val="22"/>
        </w:rPr>
        <w:t>”</w:t>
      </w:r>
    </w:p>
  </w:footnote>
  <w:footnote w:id="70">
    <w:p w14:paraId="250D4F00" w14:textId="100F11D3" w:rsidR="005F454B" w:rsidRPr="00E44DE1" w:rsidRDefault="005F454B">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fldChar w:fldCharType="begin"/>
      </w:r>
      <w:r w:rsidR="00104C5B" w:rsidRPr="00E44DE1">
        <w:rPr>
          <w:rFonts w:ascii="Times New Roman" w:hAnsi="Times New Roman" w:cs="Times New Roman"/>
          <w:color w:val="000000" w:themeColor="text1"/>
          <w:sz w:val="22"/>
          <w:szCs w:val="22"/>
        </w:rPr>
        <w:instrText xml:space="preserve"> ADDIN ZOTERO_ITEM CSL_CITATION {"citationID":"5AjTX0wQ","properties":{"formattedCitation":"Hearty, \\uc0\\u8220{}\\uc0\\u8216{}Victims of\\uc0\\u8217{} Human Rights Abuses in Transitional Justice.\\uc0\\u8221{}","plainCitation":"Hearty, “‘Victims of’ Human Rights Abuses in Transitional Justice.”","noteIndex":74},"citationItems":[{"id":16007,"uris":["http://zotero.org/groups/2727724/items/2WCLCURL"],"itemData":{"id":16007,"type":"article-journal","abstract":"This article critically examines how multifarious levels of division among victim constituencies have shaped legal and non-legal transitional justice responses to human rights violations. It submits that this division has caused such responses to operate in accordance with the notion of being a ‘victim of’ rather than that of simply being a victim of human rights abuse per se. Expanding from this position, it proffers the theoretical viewpoint that transitional justice responses are premised on the nuanced typologies of being a victim of a particular perpetrator or being a victim of a particular harm or being a victim of particular circumstances. When determining which victims to offer redress to, which victimisers to punish and which harms to repair, these approaches have by necessity fallen back on hierarchies that favour certain victims and harms above others. This process of hierarchisation is multi-layered and involves interplay between ideological, gendered and class-based factors that place certain victims outside the reach of transitional justice discourses and processes. The exclusion of these victims, the article argues, creates an invisibilised category of victims of the peace that fail to benefit from transitional justice processes that struggle to deal with the complexity their situations present.","container-title":"The International Journal of Human Rights","DOI":"10.1080/13642987.2018.1485656","ISSN":"1364-2987","issue":"7","note":"publisher: Routledge\n_eprint: https://doi.org/10.1080/13642987.2018.1485656","page":"888-909","source":"Taylor and Francis+NEJM","title":"‘Victims of’ human rights abuses in transitional justice: hierarchies, perpetrators and the struggle for peace","title-short":"‘Victims of’ human rights abuses in transitional justice","volume":"22","author":[{"family":"Hearty","given":"Kevin"}],"issued":{"date-parts":[["2018",8,9]]}}}],"schema":"https://github.com/citation-style-language/schema/raw/master/csl-citation.json"}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Hearty, “‘Victims of’ Human Rights Abuses in Transitional Justice.”</w:t>
      </w:r>
      <w:r w:rsidRPr="00E44DE1">
        <w:rPr>
          <w:rFonts w:ascii="Times New Roman" w:hAnsi="Times New Roman" w:cs="Times New Roman"/>
          <w:color w:val="000000" w:themeColor="text1"/>
          <w:sz w:val="22"/>
          <w:szCs w:val="22"/>
        </w:rPr>
        <w:fldChar w:fldCharType="end"/>
      </w:r>
      <w:r w:rsidR="001855A7" w:rsidRPr="00E44DE1">
        <w:rPr>
          <w:rFonts w:ascii="Times New Roman" w:hAnsi="Times New Roman" w:cs="Times New Roman"/>
          <w:color w:val="000000" w:themeColor="text1"/>
          <w:sz w:val="22"/>
          <w:szCs w:val="22"/>
        </w:rPr>
        <w:t xml:space="preserve"> Also see Weber, </w:t>
      </w:r>
      <w:r w:rsidR="00DA53DE" w:rsidRPr="00E44DE1">
        <w:rPr>
          <w:rFonts w:ascii="Times New Roman" w:hAnsi="Times New Roman" w:cs="Times New Roman"/>
          <w:color w:val="000000" w:themeColor="text1"/>
          <w:sz w:val="22"/>
          <w:szCs w:val="22"/>
        </w:rPr>
        <w:t>“Gender and Transitional Justice</w:t>
      </w:r>
      <w:r w:rsidR="00065FDF" w:rsidRPr="00E44DE1">
        <w:rPr>
          <w:rFonts w:ascii="Times New Roman" w:hAnsi="Times New Roman" w:cs="Times New Roman"/>
          <w:color w:val="000000" w:themeColor="text1"/>
          <w:sz w:val="22"/>
          <w:szCs w:val="22"/>
        </w:rPr>
        <w:t>.”</w:t>
      </w:r>
    </w:p>
  </w:footnote>
  <w:footnote w:id="71">
    <w:p w14:paraId="4A6959D4" w14:textId="128DADB4" w:rsidR="000D6BBF" w:rsidRPr="00E44DE1" w:rsidRDefault="000D6BBF">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For a discussion of “crowding-out effects,” see Ryan Goodman and Derek Jinks, “Social Mechanisms to Promote International Human Rights: Complementary or Contradictory,” in </w:t>
      </w:r>
      <w:r w:rsidRPr="00E44DE1">
        <w:rPr>
          <w:rFonts w:ascii="Times New Roman" w:hAnsi="Times New Roman" w:cs="Times New Roman"/>
          <w:i/>
          <w:iCs/>
          <w:color w:val="000000" w:themeColor="text1"/>
          <w:sz w:val="22"/>
          <w:szCs w:val="22"/>
        </w:rPr>
        <w:t>The Persistent Power of Human Rights</w:t>
      </w:r>
      <w:r w:rsidR="008D04E6" w:rsidRPr="00E44DE1">
        <w:rPr>
          <w:rFonts w:ascii="Times New Roman" w:hAnsi="Times New Roman" w:cs="Times New Roman"/>
          <w:color w:val="000000" w:themeColor="text1"/>
          <w:sz w:val="22"/>
          <w:szCs w:val="22"/>
        </w:rPr>
        <w:t xml:space="preserve">, ed. </w:t>
      </w:r>
      <w:r w:rsidR="00F83AA0" w:rsidRPr="00E44DE1">
        <w:rPr>
          <w:rFonts w:ascii="Times New Roman" w:hAnsi="Times New Roman" w:cs="Times New Roman"/>
          <w:color w:val="000000" w:themeColor="text1"/>
          <w:sz w:val="22"/>
          <w:szCs w:val="22"/>
        </w:rPr>
        <w:t>Thomas Risse et al</w:t>
      </w:r>
      <w:r w:rsidR="00782DA4" w:rsidRPr="00E44DE1">
        <w:rPr>
          <w:rFonts w:ascii="Times New Roman" w:hAnsi="Times New Roman" w:cs="Times New Roman"/>
          <w:color w:val="000000" w:themeColor="text1"/>
          <w:sz w:val="22"/>
          <w:szCs w:val="22"/>
        </w:rPr>
        <w:t>.</w:t>
      </w:r>
      <w:r w:rsidR="00F83AA0" w:rsidRPr="00E44DE1">
        <w:rPr>
          <w:rFonts w:ascii="Times New Roman" w:hAnsi="Times New Roman" w:cs="Times New Roman"/>
          <w:color w:val="000000" w:themeColor="text1"/>
          <w:sz w:val="22"/>
          <w:szCs w:val="22"/>
        </w:rPr>
        <w:t xml:space="preserve"> </w:t>
      </w:r>
      <w:r w:rsidRPr="00E44DE1">
        <w:rPr>
          <w:rFonts w:ascii="Times New Roman" w:hAnsi="Times New Roman" w:cs="Times New Roman"/>
          <w:color w:val="000000" w:themeColor="text1"/>
          <w:sz w:val="22"/>
          <w:szCs w:val="22"/>
        </w:rPr>
        <w:t>(Cambridge University Press, 2013): 105-116.</w:t>
      </w:r>
    </w:p>
  </w:footnote>
  <w:footnote w:id="72">
    <w:p w14:paraId="0648A768" w14:textId="6225413C" w:rsidR="00A645A6" w:rsidRPr="00E44DE1" w:rsidRDefault="00A645A6">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Christopher J. Fariss, “Respect for Human Rights has Improved Over Time: Modeling the Changing Standard of Accountability,” </w:t>
      </w:r>
      <w:r w:rsidRPr="00E44DE1">
        <w:rPr>
          <w:rFonts w:ascii="Times New Roman" w:hAnsi="Times New Roman" w:cs="Times New Roman"/>
          <w:i/>
          <w:iCs/>
          <w:color w:val="000000" w:themeColor="text1"/>
          <w:sz w:val="22"/>
          <w:szCs w:val="22"/>
        </w:rPr>
        <w:t xml:space="preserve">American Political Science Review </w:t>
      </w:r>
      <w:r w:rsidRPr="00E44DE1">
        <w:rPr>
          <w:rFonts w:ascii="Times New Roman" w:hAnsi="Times New Roman" w:cs="Times New Roman"/>
          <w:color w:val="000000" w:themeColor="text1"/>
          <w:sz w:val="22"/>
          <w:szCs w:val="22"/>
        </w:rPr>
        <w:t>108(2):297-318.</w:t>
      </w:r>
    </w:p>
  </w:footnote>
  <w:footnote w:id="73">
    <w:p w14:paraId="1A1E80AA" w14:textId="4DA59457" w:rsidR="00032561" w:rsidRPr="00E44DE1" w:rsidRDefault="00032561">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Christopher J. Fariss and Geoff Dancy</w:t>
      </w:r>
      <w:r w:rsidR="00A645A6" w:rsidRPr="00E44DE1">
        <w:rPr>
          <w:rFonts w:ascii="Times New Roman" w:hAnsi="Times New Roman" w:cs="Times New Roman"/>
          <w:color w:val="000000" w:themeColor="text1"/>
          <w:sz w:val="22"/>
          <w:szCs w:val="22"/>
        </w:rPr>
        <w:t>,</w:t>
      </w:r>
      <w:r w:rsidRPr="00E44DE1">
        <w:rPr>
          <w:rFonts w:ascii="Times New Roman" w:hAnsi="Times New Roman" w:cs="Times New Roman"/>
          <w:color w:val="000000" w:themeColor="text1"/>
          <w:sz w:val="22"/>
          <w:szCs w:val="22"/>
        </w:rPr>
        <w:t xml:space="preserve"> “Measuring the Impact of Human Rights: Conceptual and Methodological Debates,” </w:t>
      </w:r>
      <w:r w:rsidRPr="00E44DE1">
        <w:rPr>
          <w:rFonts w:ascii="Times New Roman" w:hAnsi="Times New Roman" w:cs="Times New Roman"/>
          <w:i/>
          <w:iCs/>
          <w:color w:val="000000" w:themeColor="text1"/>
          <w:sz w:val="22"/>
          <w:szCs w:val="22"/>
        </w:rPr>
        <w:t>Annual Review of Law and Social Science</w:t>
      </w:r>
      <w:r w:rsidRPr="00E44DE1">
        <w:rPr>
          <w:rFonts w:ascii="Times New Roman" w:hAnsi="Times New Roman" w:cs="Times New Roman"/>
          <w:color w:val="000000" w:themeColor="text1"/>
          <w:sz w:val="22"/>
          <w:szCs w:val="22"/>
        </w:rPr>
        <w:t xml:space="preserve"> 13 (2017): 273-294.</w:t>
      </w:r>
    </w:p>
  </w:footnote>
  <w:footnote w:id="74">
    <w:p w14:paraId="143F3A5C" w14:textId="4F562C60" w:rsidR="003A69D4" w:rsidRPr="00E44DE1" w:rsidRDefault="003A69D4" w:rsidP="003A69D4">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Further details of our methodology and coding procedures are available at </w:t>
      </w:r>
      <w:hyperlink r:id="rId12" w:history="1">
        <w:r w:rsidRPr="00E44DE1">
          <w:rPr>
            <w:rStyle w:val="Hyperlink"/>
            <w:rFonts w:ascii="Times New Roman" w:hAnsi="Times New Roman" w:cs="Times New Roman"/>
            <w:color w:val="000000" w:themeColor="text1"/>
            <w:sz w:val="22"/>
            <w:szCs w:val="22"/>
            <w:u w:val="none"/>
          </w:rPr>
          <w:t>https://transitionaljusticedata.org/en/faq.html</w:t>
        </w:r>
      </w:hyperlink>
      <w:r w:rsidRPr="00E44DE1">
        <w:rPr>
          <w:rFonts w:ascii="Times New Roman" w:hAnsi="Times New Roman" w:cs="Times New Roman"/>
          <w:color w:val="000000" w:themeColor="text1"/>
          <w:sz w:val="22"/>
          <w:szCs w:val="22"/>
        </w:rPr>
        <w:t xml:space="preserve">  </w:t>
      </w:r>
    </w:p>
  </w:footnote>
  <w:footnote w:id="75">
    <w:p w14:paraId="58AEA18E" w14:textId="77777777" w:rsidR="003A69D4" w:rsidRPr="00E44DE1" w:rsidRDefault="003A69D4" w:rsidP="003A69D4">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This definition draws upon but slightly modifies the definition of gender-based violence given by the ICC. See,  </w:t>
      </w:r>
      <w:r w:rsidRPr="00E44DE1">
        <w:rPr>
          <w:rFonts w:ascii="Times New Roman" w:hAnsi="Times New Roman" w:cs="Times New Roman"/>
          <w:color w:val="000000" w:themeColor="text1"/>
          <w:sz w:val="22"/>
          <w:szCs w:val="22"/>
        </w:rPr>
        <w:fldChar w:fldCharType="begin"/>
      </w:r>
      <w:r w:rsidRPr="00E44DE1">
        <w:rPr>
          <w:rFonts w:ascii="Times New Roman" w:hAnsi="Times New Roman" w:cs="Times New Roman"/>
          <w:color w:val="000000" w:themeColor="text1"/>
          <w:sz w:val="22"/>
          <w:szCs w:val="22"/>
        </w:rPr>
        <w:instrText xml:space="preserve"> ADDIN ZOTERO_ITEM CSL_CITATION {"citationID":"FN0st9Dx","properties":{"formattedCitation":"International Criminal Court, \\uc0\\u8220{}Policy Paper on Sexual and Gender-Based Crimes - June 2014,\\uc0\\u8221{} 2014, 3.","plainCitation":"International Criminal Court, “Policy Paper on Sexual and Gender-Based Crimes - June 2014,” 2014, 3.","dontUpdate":true,"noteIndex":31},"citationItems":[{"id":13519,"uris":["http://zotero.org/groups/2727724/items/R38EW837"],"itemData":{"id":13519,"type":"report","language":"en","source":"Zotero","title":"Policy Paper on Sexual and Gender-Based Crimes - June 2014","author":[{"family":"International Criminal Court","given":""}],"issued":{"date-parts":[["2014"]]}},"locator":"3","label":"page"}],"schema":"https://github.com/citation-style-language/schema/raw/master/csl-citation.json"} </w:instrText>
      </w:r>
      <w:r w:rsidRPr="00E44DE1">
        <w:rPr>
          <w:rFonts w:ascii="Times New Roman" w:hAnsi="Times New Roman" w:cs="Times New Roman"/>
          <w:color w:val="000000" w:themeColor="text1"/>
          <w:sz w:val="22"/>
          <w:szCs w:val="22"/>
        </w:rPr>
        <w:fldChar w:fldCharType="separate"/>
      </w:r>
      <w:r w:rsidRPr="00E44DE1">
        <w:rPr>
          <w:rFonts w:ascii="Times New Roman" w:hAnsi="Times New Roman" w:cs="Times New Roman"/>
          <w:color w:val="000000" w:themeColor="text1"/>
          <w:sz w:val="22"/>
          <w:szCs w:val="22"/>
        </w:rPr>
        <w:t>International Criminal Court, “Policy Paper on Sexual and Gender-Based Crimes,” June 2014, 3.</w:t>
      </w:r>
      <w:r w:rsidRPr="00E44DE1">
        <w:rPr>
          <w:rFonts w:ascii="Times New Roman" w:hAnsi="Times New Roman" w:cs="Times New Roman"/>
          <w:color w:val="000000" w:themeColor="text1"/>
          <w:sz w:val="22"/>
          <w:szCs w:val="22"/>
        </w:rPr>
        <w:fldChar w:fldCharType="end"/>
      </w:r>
    </w:p>
  </w:footnote>
  <w:footnote w:id="76">
    <w:p w14:paraId="3E789F06" w14:textId="77777777" w:rsidR="003A69D4" w:rsidRPr="00E44DE1" w:rsidRDefault="003A69D4" w:rsidP="003A69D4">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Geoff Dancy, Hunjoon Kim, and Eric Wiebelhaus-Brahm, “The Turn to Truth: Trends in Truth Commission Experimentation,” </w:t>
      </w:r>
      <w:r w:rsidRPr="00E44DE1">
        <w:rPr>
          <w:rFonts w:ascii="Times New Roman" w:hAnsi="Times New Roman" w:cs="Times New Roman"/>
          <w:i/>
          <w:iCs/>
          <w:color w:val="000000" w:themeColor="text1"/>
          <w:sz w:val="22"/>
          <w:szCs w:val="22"/>
        </w:rPr>
        <w:t>Journal of Human Rights</w:t>
      </w:r>
      <w:r w:rsidRPr="00E44DE1">
        <w:rPr>
          <w:rFonts w:ascii="Times New Roman" w:hAnsi="Times New Roman" w:cs="Times New Roman"/>
          <w:color w:val="000000" w:themeColor="text1"/>
          <w:sz w:val="22"/>
          <w:szCs w:val="22"/>
        </w:rPr>
        <w:t xml:space="preserve"> 9, no. 1, (2010): 45-64.  </w:t>
      </w:r>
    </w:p>
  </w:footnote>
  <w:footnote w:id="77">
    <w:p w14:paraId="34798C3C" w14:textId="77777777" w:rsidR="003A69D4" w:rsidRPr="00E44DE1" w:rsidRDefault="003A69D4" w:rsidP="003A69D4">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Moffett, Luke. “Reparations Database.” Reparations, Responsibility, and Victimhood in Transitional Societies. Queen's University Belfast. https://reparations.qub.ac.uk/reparations-database/</w:t>
      </w:r>
    </w:p>
  </w:footnote>
  <w:footnote w:id="78">
    <w:p w14:paraId="3605B895" w14:textId="77777777" w:rsidR="003A69D4" w:rsidRPr="00E44DE1" w:rsidRDefault="003A69D4" w:rsidP="003A69D4">
      <w:pPr>
        <w:pStyle w:val="FootnoteText"/>
        <w:rPr>
          <w:rFonts w:ascii="Times New Roman" w:hAnsi="Times New Roman" w:cs="Times New Roman"/>
          <w:color w:val="000000" w:themeColor="text1"/>
          <w:sz w:val="22"/>
          <w:szCs w:val="22"/>
        </w:rPr>
      </w:pPr>
      <w:r w:rsidRPr="00E44DE1">
        <w:rPr>
          <w:rStyle w:val="FootnoteReference"/>
          <w:rFonts w:ascii="Times New Roman" w:hAnsi="Times New Roman" w:cs="Times New Roman"/>
          <w:color w:val="000000" w:themeColor="text1"/>
          <w:sz w:val="22"/>
          <w:szCs w:val="22"/>
        </w:rPr>
        <w:footnoteRef/>
      </w:r>
      <w:r w:rsidRPr="00E44DE1">
        <w:rPr>
          <w:rFonts w:ascii="Times New Roman" w:hAnsi="Times New Roman" w:cs="Times New Roman"/>
          <w:color w:val="000000" w:themeColor="text1"/>
          <w:sz w:val="22"/>
          <w:szCs w:val="22"/>
        </w:rPr>
        <w:t xml:space="preserve"> We only coded administrative reparations policies for compensation, rehabilitation, and restitution, not reparations that are awarded as the result of a civil or criminal trial.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279BC"/>
    <w:multiLevelType w:val="hybridMultilevel"/>
    <w:tmpl w:val="57AE34D8"/>
    <w:lvl w:ilvl="0" w:tplc="3CC4AC4C">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56A5C"/>
    <w:multiLevelType w:val="hybridMultilevel"/>
    <w:tmpl w:val="7282452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911528"/>
    <w:multiLevelType w:val="hybridMultilevel"/>
    <w:tmpl w:val="C442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F25FB"/>
    <w:multiLevelType w:val="hybridMultilevel"/>
    <w:tmpl w:val="782EE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E3C31"/>
    <w:multiLevelType w:val="hybridMultilevel"/>
    <w:tmpl w:val="205E30B2"/>
    <w:lvl w:ilvl="0" w:tplc="2F16D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892F13"/>
    <w:multiLevelType w:val="hybridMultilevel"/>
    <w:tmpl w:val="72824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17714"/>
    <w:multiLevelType w:val="hybridMultilevel"/>
    <w:tmpl w:val="BF16355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EC2122"/>
    <w:multiLevelType w:val="hybridMultilevel"/>
    <w:tmpl w:val="5B90F504"/>
    <w:lvl w:ilvl="0" w:tplc="11D0BC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02D4C"/>
    <w:multiLevelType w:val="hybridMultilevel"/>
    <w:tmpl w:val="3A369BBA"/>
    <w:lvl w:ilvl="0" w:tplc="CA00FF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565388"/>
    <w:multiLevelType w:val="hybridMultilevel"/>
    <w:tmpl w:val="5E6E0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407321">
    <w:abstractNumId w:val="3"/>
  </w:num>
  <w:num w:numId="2" w16cid:durableId="1111776359">
    <w:abstractNumId w:val="4"/>
  </w:num>
  <w:num w:numId="3" w16cid:durableId="838882608">
    <w:abstractNumId w:val="2"/>
  </w:num>
  <w:num w:numId="4" w16cid:durableId="836456560">
    <w:abstractNumId w:val="0"/>
  </w:num>
  <w:num w:numId="5" w16cid:durableId="887301391">
    <w:abstractNumId w:val="8"/>
  </w:num>
  <w:num w:numId="6" w16cid:durableId="951715521">
    <w:abstractNumId w:val="5"/>
  </w:num>
  <w:num w:numId="7" w16cid:durableId="1863779396">
    <w:abstractNumId w:val="6"/>
  </w:num>
  <w:num w:numId="8" w16cid:durableId="309747139">
    <w:abstractNumId w:val="1"/>
  </w:num>
  <w:num w:numId="9" w16cid:durableId="2007635535">
    <w:abstractNumId w:val="7"/>
  </w:num>
  <w:num w:numId="10" w16cid:durableId="16097771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1E3"/>
    <w:rsid w:val="000001D7"/>
    <w:rsid w:val="00000265"/>
    <w:rsid w:val="000004E8"/>
    <w:rsid w:val="00001088"/>
    <w:rsid w:val="0000141F"/>
    <w:rsid w:val="0000193B"/>
    <w:rsid w:val="00001A4E"/>
    <w:rsid w:val="00001D15"/>
    <w:rsid w:val="000028F5"/>
    <w:rsid w:val="00003668"/>
    <w:rsid w:val="00003992"/>
    <w:rsid w:val="00003E18"/>
    <w:rsid w:val="0000504F"/>
    <w:rsid w:val="00005147"/>
    <w:rsid w:val="0000524E"/>
    <w:rsid w:val="000055CE"/>
    <w:rsid w:val="00005695"/>
    <w:rsid w:val="00006D09"/>
    <w:rsid w:val="00006FDA"/>
    <w:rsid w:val="000071E8"/>
    <w:rsid w:val="00007398"/>
    <w:rsid w:val="0000741B"/>
    <w:rsid w:val="00007A09"/>
    <w:rsid w:val="000100A6"/>
    <w:rsid w:val="00010B6C"/>
    <w:rsid w:val="00011056"/>
    <w:rsid w:val="00011579"/>
    <w:rsid w:val="000129CC"/>
    <w:rsid w:val="00014940"/>
    <w:rsid w:val="000149B3"/>
    <w:rsid w:val="00014C60"/>
    <w:rsid w:val="00015299"/>
    <w:rsid w:val="00016809"/>
    <w:rsid w:val="00016D4E"/>
    <w:rsid w:val="00017246"/>
    <w:rsid w:val="00017B84"/>
    <w:rsid w:val="00017DC1"/>
    <w:rsid w:val="00020AE0"/>
    <w:rsid w:val="00021442"/>
    <w:rsid w:val="00021A1A"/>
    <w:rsid w:val="00021E0A"/>
    <w:rsid w:val="00021F66"/>
    <w:rsid w:val="0002284A"/>
    <w:rsid w:val="00022C1E"/>
    <w:rsid w:val="0002366B"/>
    <w:rsid w:val="000241E1"/>
    <w:rsid w:val="00024DD4"/>
    <w:rsid w:val="000259A7"/>
    <w:rsid w:val="00025C47"/>
    <w:rsid w:val="00026940"/>
    <w:rsid w:val="00026DD1"/>
    <w:rsid w:val="00030845"/>
    <w:rsid w:val="00030A25"/>
    <w:rsid w:val="00030C46"/>
    <w:rsid w:val="00030EF2"/>
    <w:rsid w:val="0003219A"/>
    <w:rsid w:val="000324AB"/>
    <w:rsid w:val="00032561"/>
    <w:rsid w:val="00033185"/>
    <w:rsid w:val="00033B0A"/>
    <w:rsid w:val="00033C95"/>
    <w:rsid w:val="00034355"/>
    <w:rsid w:val="000348A8"/>
    <w:rsid w:val="00035774"/>
    <w:rsid w:val="0003655B"/>
    <w:rsid w:val="00036BD9"/>
    <w:rsid w:val="00036E8B"/>
    <w:rsid w:val="000400AA"/>
    <w:rsid w:val="00040EA3"/>
    <w:rsid w:val="0004124F"/>
    <w:rsid w:val="00041859"/>
    <w:rsid w:val="000419F8"/>
    <w:rsid w:val="00041A8D"/>
    <w:rsid w:val="00041DF7"/>
    <w:rsid w:val="000421F8"/>
    <w:rsid w:val="00042639"/>
    <w:rsid w:val="00042B40"/>
    <w:rsid w:val="00042F2E"/>
    <w:rsid w:val="0004386A"/>
    <w:rsid w:val="000438C2"/>
    <w:rsid w:val="00043A6A"/>
    <w:rsid w:val="00043E5F"/>
    <w:rsid w:val="000442E9"/>
    <w:rsid w:val="00044880"/>
    <w:rsid w:val="00044E75"/>
    <w:rsid w:val="00044EDE"/>
    <w:rsid w:val="00044F78"/>
    <w:rsid w:val="00045CFD"/>
    <w:rsid w:val="0004682F"/>
    <w:rsid w:val="00046D68"/>
    <w:rsid w:val="00046E65"/>
    <w:rsid w:val="00047539"/>
    <w:rsid w:val="00050548"/>
    <w:rsid w:val="00050C22"/>
    <w:rsid w:val="0005185D"/>
    <w:rsid w:val="00051B3C"/>
    <w:rsid w:val="00051CAA"/>
    <w:rsid w:val="00051D00"/>
    <w:rsid w:val="000524A4"/>
    <w:rsid w:val="00052B20"/>
    <w:rsid w:val="00052E61"/>
    <w:rsid w:val="0005374E"/>
    <w:rsid w:val="00053C15"/>
    <w:rsid w:val="00053EC5"/>
    <w:rsid w:val="0005482E"/>
    <w:rsid w:val="00056522"/>
    <w:rsid w:val="00056F74"/>
    <w:rsid w:val="00057E99"/>
    <w:rsid w:val="00057FB8"/>
    <w:rsid w:val="0006027D"/>
    <w:rsid w:val="00060EE8"/>
    <w:rsid w:val="000612DF"/>
    <w:rsid w:val="000627A5"/>
    <w:rsid w:val="00063A4E"/>
    <w:rsid w:val="00063CF4"/>
    <w:rsid w:val="0006469E"/>
    <w:rsid w:val="00064B3B"/>
    <w:rsid w:val="00065769"/>
    <w:rsid w:val="00065CC0"/>
    <w:rsid w:val="00065FDF"/>
    <w:rsid w:val="0006611E"/>
    <w:rsid w:val="000662B4"/>
    <w:rsid w:val="000667A6"/>
    <w:rsid w:val="00066889"/>
    <w:rsid w:val="00067550"/>
    <w:rsid w:val="000701C4"/>
    <w:rsid w:val="0007099F"/>
    <w:rsid w:val="00070D35"/>
    <w:rsid w:val="00070F4A"/>
    <w:rsid w:val="00071280"/>
    <w:rsid w:val="00071CD3"/>
    <w:rsid w:val="000721AD"/>
    <w:rsid w:val="0007360E"/>
    <w:rsid w:val="00073786"/>
    <w:rsid w:val="000737BC"/>
    <w:rsid w:val="000741B5"/>
    <w:rsid w:val="00074298"/>
    <w:rsid w:val="00074435"/>
    <w:rsid w:val="000744CA"/>
    <w:rsid w:val="000754B8"/>
    <w:rsid w:val="000755CA"/>
    <w:rsid w:val="000756A4"/>
    <w:rsid w:val="00075732"/>
    <w:rsid w:val="00075811"/>
    <w:rsid w:val="0007596A"/>
    <w:rsid w:val="00075A5C"/>
    <w:rsid w:val="000761DF"/>
    <w:rsid w:val="000763BB"/>
    <w:rsid w:val="00077332"/>
    <w:rsid w:val="00077FA1"/>
    <w:rsid w:val="000807C2"/>
    <w:rsid w:val="00080E41"/>
    <w:rsid w:val="000814BA"/>
    <w:rsid w:val="000828D5"/>
    <w:rsid w:val="000829F7"/>
    <w:rsid w:val="0008454D"/>
    <w:rsid w:val="000846F9"/>
    <w:rsid w:val="00085545"/>
    <w:rsid w:val="00086A63"/>
    <w:rsid w:val="00086C98"/>
    <w:rsid w:val="00086DAA"/>
    <w:rsid w:val="00087BAD"/>
    <w:rsid w:val="00087EA5"/>
    <w:rsid w:val="00087F2F"/>
    <w:rsid w:val="00087F93"/>
    <w:rsid w:val="00090675"/>
    <w:rsid w:val="00091A15"/>
    <w:rsid w:val="00093237"/>
    <w:rsid w:val="00093AF7"/>
    <w:rsid w:val="00093DA4"/>
    <w:rsid w:val="00094233"/>
    <w:rsid w:val="0009429D"/>
    <w:rsid w:val="0009434C"/>
    <w:rsid w:val="00094615"/>
    <w:rsid w:val="0009525F"/>
    <w:rsid w:val="00096E4C"/>
    <w:rsid w:val="00096E6D"/>
    <w:rsid w:val="00096EBB"/>
    <w:rsid w:val="00097211"/>
    <w:rsid w:val="000A03C7"/>
    <w:rsid w:val="000A161D"/>
    <w:rsid w:val="000A34A1"/>
    <w:rsid w:val="000A3B65"/>
    <w:rsid w:val="000A434C"/>
    <w:rsid w:val="000A51A3"/>
    <w:rsid w:val="000A52D2"/>
    <w:rsid w:val="000A5415"/>
    <w:rsid w:val="000A5F01"/>
    <w:rsid w:val="000A675D"/>
    <w:rsid w:val="000A7088"/>
    <w:rsid w:val="000A7D0C"/>
    <w:rsid w:val="000A7D0D"/>
    <w:rsid w:val="000A7F56"/>
    <w:rsid w:val="000B0117"/>
    <w:rsid w:val="000B1373"/>
    <w:rsid w:val="000B1EF6"/>
    <w:rsid w:val="000B210E"/>
    <w:rsid w:val="000B28BD"/>
    <w:rsid w:val="000B2BD3"/>
    <w:rsid w:val="000B3730"/>
    <w:rsid w:val="000B51ED"/>
    <w:rsid w:val="000B528D"/>
    <w:rsid w:val="000B6690"/>
    <w:rsid w:val="000C00F9"/>
    <w:rsid w:val="000C0E2A"/>
    <w:rsid w:val="000C19A2"/>
    <w:rsid w:val="000C1E0E"/>
    <w:rsid w:val="000C23DA"/>
    <w:rsid w:val="000C2B5D"/>
    <w:rsid w:val="000C3426"/>
    <w:rsid w:val="000C4F02"/>
    <w:rsid w:val="000C500E"/>
    <w:rsid w:val="000C572E"/>
    <w:rsid w:val="000C5B71"/>
    <w:rsid w:val="000C66FF"/>
    <w:rsid w:val="000C697E"/>
    <w:rsid w:val="000C7A70"/>
    <w:rsid w:val="000D020F"/>
    <w:rsid w:val="000D0A68"/>
    <w:rsid w:val="000D1087"/>
    <w:rsid w:val="000D24C3"/>
    <w:rsid w:val="000D2748"/>
    <w:rsid w:val="000D2FB5"/>
    <w:rsid w:val="000D3B3B"/>
    <w:rsid w:val="000D3E53"/>
    <w:rsid w:val="000D3EDE"/>
    <w:rsid w:val="000D4382"/>
    <w:rsid w:val="000D439B"/>
    <w:rsid w:val="000D44D1"/>
    <w:rsid w:val="000D4525"/>
    <w:rsid w:val="000D4720"/>
    <w:rsid w:val="000D54E6"/>
    <w:rsid w:val="000D568F"/>
    <w:rsid w:val="000D6098"/>
    <w:rsid w:val="000D63EB"/>
    <w:rsid w:val="000D6BBF"/>
    <w:rsid w:val="000D6EE2"/>
    <w:rsid w:val="000D78F9"/>
    <w:rsid w:val="000D7DC9"/>
    <w:rsid w:val="000E0831"/>
    <w:rsid w:val="000E10AE"/>
    <w:rsid w:val="000E1CFB"/>
    <w:rsid w:val="000E1D00"/>
    <w:rsid w:val="000E1ED9"/>
    <w:rsid w:val="000E1F4A"/>
    <w:rsid w:val="000E28AD"/>
    <w:rsid w:val="000E3E12"/>
    <w:rsid w:val="000E4194"/>
    <w:rsid w:val="000E49E5"/>
    <w:rsid w:val="000E4FBF"/>
    <w:rsid w:val="000E54AC"/>
    <w:rsid w:val="000E7097"/>
    <w:rsid w:val="000E737D"/>
    <w:rsid w:val="000F0097"/>
    <w:rsid w:val="000F047D"/>
    <w:rsid w:val="000F18BA"/>
    <w:rsid w:val="000F192A"/>
    <w:rsid w:val="000F1D81"/>
    <w:rsid w:val="000F1F0C"/>
    <w:rsid w:val="000F1FF4"/>
    <w:rsid w:val="000F233F"/>
    <w:rsid w:val="000F293A"/>
    <w:rsid w:val="000F2E3E"/>
    <w:rsid w:val="000F301F"/>
    <w:rsid w:val="000F4123"/>
    <w:rsid w:val="000F544A"/>
    <w:rsid w:val="000F54E9"/>
    <w:rsid w:val="000F5B28"/>
    <w:rsid w:val="000F6D11"/>
    <w:rsid w:val="000F6FA6"/>
    <w:rsid w:val="000F7212"/>
    <w:rsid w:val="000F77D3"/>
    <w:rsid w:val="000F7853"/>
    <w:rsid w:val="00100C6A"/>
    <w:rsid w:val="00101516"/>
    <w:rsid w:val="00101BA7"/>
    <w:rsid w:val="00101DC9"/>
    <w:rsid w:val="0010358E"/>
    <w:rsid w:val="00103636"/>
    <w:rsid w:val="00103DD6"/>
    <w:rsid w:val="00104C5B"/>
    <w:rsid w:val="0010556D"/>
    <w:rsid w:val="00105E70"/>
    <w:rsid w:val="001062DC"/>
    <w:rsid w:val="00107119"/>
    <w:rsid w:val="001102E3"/>
    <w:rsid w:val="001106AC"/>
    <w:rsid w:val="00111DF7"/>
    <w:rsid w:val="00112711"/>
    <w:rsid w:val="00112A04"/>
    <w:rsid w:val="001148D2"/>
    <w:rsid w:val="00114CAE"/>
    <w:rsid w:val="00114E6D"/>
    <w:rsid w:val="00115454"/>
    <w:rsid w:val="00116569"/>
    <w:rsid w:val="001169B6"/>
    <w:rsid w:val="00117079"/>
    <w:rsid w:val="0011728C"/>
    <w:rsid w:val="00117807"/>
    <w:rsid w:val="00120245"/>
    <w:rsid w:val="001205B7"/>
    <w:rsid w:val="00121EC0"/>
    <w:rsid w:val="00122AAF"/>
    <w:rsid w:val="00122DDB"/>
    <w:rsid w:val="0012311E"/>
    <w:rsid w:val="00123250"/>
    <w:rsid w:val="001240C0"/>
    <w:rsid w:val="00124F7D"/>
    <w:rsid w:val="001268CF"/>
    <w:rsid w:val="00126C16"/>
    <w:rsid w:val="00127041"/>
    <w:rsid w:val="0012721B"/>
    <w:rsid w:val="00127908"/>
    <w:rsid w:val="001307D7"/>
    <w:rsid w:val="00131558"/>
    <w:rsid w:val="00131890"/>
    <w:rsid w:val="00131A40"/>
    <w:rsid w:val="00132A0B"/>
    <w:rsid w:val="00133128"/>
    <w:rsid w:val="001337D3"/>
    <w:rsid w:val="001339FB"/>
    <w:rsid w:val="00133CCD"/>
    <w:rsid w:val="00133E6C"/>
    <w:rsid w:val="00133EB0"/>
    <w:rsid w:val="00133F7A"/>
    <w:rsid w:val="0013494A"/>
    <w:rsid w:val="00135BE6"/>
    <w:rsid w:val="001362BD"/>
    <w:rsid w:val="00136BC7"/>
    <w:rsid w:val="0013742A"/>
    <w:rsid w:val="00140777"/>
    <w:rsid w:val="00140BFB"/>
    <w:rsid w:val="00140C85"/>
    <w:rsid w:val="00141F07"/>
    <w:rsid w:val="00142706"/>
    <w:rsid w:val="00142F57"/>
    <w:rsid w:val="001432B4"/>
    <w:rsid w:val="0014357E"/>
    <w:rsid w:val="00145B44"/>
    <w:rsid w:val="00145B85"/>
    <w:rsid w:val="0014657C"/>
    <w:rsid w:val="00146C52"/>
    <w:rsid w:val="00147609"/>
    <w:rsid w:val="001476EA"/>
    <w:rsid w:val="001477D3"/>
    <w:rsid w:val="001507B9"/>
    <w:rsid w:val="001513FB"/>
    <w:rsid w:val="00152236"/>
    <w:rsid w:val="001527C9"/>
    <w:rsid w:val="00152D9D"/>
    <w:rsid w:val="00152F47"/>
    <w:rsid w:val="001533B7"/>
    <w:rsid w:val="00154C07"/>
    <w:rsid w:val="001558B4"/>
    <w:rsid w:val="00156830"/>
    <w:rsid w:val="00156B7A"/>
    <w:rsid w:val="0016097A"/>
    <w:rsid w:val="00160A35"/>
    <w:rsid w:val="0016103A"/>
    <w:rsid w:val="001622A7"/>
    <w:rsid w:val="00162D74"/>
    <w:rsid w:val="00163D8E"/>
    <w:rsid w:val="00163F65"/>
    <w:rsid w:val="0016447B"/>
    <w:rsid w:val="0016448C"/>
    <w:rsid w:val="001645F2"/>
    <w:rsid w:val="00164974"/>
    <w:rsid w:val="00165720"/>
    <w:rsid w:val="00165BDC"/>
    <w:rsid w:val="0016632C"/>
    <w:rsid w:val="00166AFB"/>
    <w:rsid w:val="00171102"/>
    <w:rsid w:val="00171429"/>
    <w:rsid w:val="00171C9F"/>
    <w:rsid w:val="00171DC0"/>
    <w:rsid w:val="001728A7"/>
    <w:rsid w:val="00173600"/>
    <w:rsid w:val="001736CC"/>
    <w:rsid w:val="0017421D"/>
    <w:rsid w:val="00174C97"/>
    <w:rsid w:val="00175052"/>
    <w:rsid w:val="001753BC"/>
    <w:rsid w:val="001753F1"/>
    <w:rsid w:val="00175613"/>
    <w:rsid w:val="00175695"/>
    <w:rsid w:val="00175D98"/>
    <w:rsid w:val="00176112"/>
    <w:rsid w:val="00176608"/>
    <w:rsid w:val="00176D1D"/>
    <w:rsid w:val="001771A5"/>
    <w:rsid w:val="00177369"/>
    <w:rsid w:val="001776FF"/>
    <w:rsid w:val="00177A39"/>
    <w:rsid w:val="001800C1"/>
    <w:rsid w:val="00180802"/>
    <w:rsid w:val="0018113D"/>
    <w:rsid w:val="001813CF"/>
    <w:rsid w:val="001829B1"/>
    <w:rsid w:val="0018347A"/>
    <w:rsid w:val="00183760"/>
    <w:rsid w:val="00183C58"/>
    <w:rsid w:val="001846C0"/>
    <w:rsid w:val="00185209"/>
    <w:rsid w:val="00185400"/>
    <w:rsid w:val="001855A7"/>
    <w:rsid w:val="001857D7"/>
    <w:rsid w:val="00186399"/>
    <w:rsid w:val="00186721"/>
    <w:rsid w:val="00186AEB"/>
    <w:rsid w:val="0018701B"/>
    <w:rsid w:val="001870E6"/>
    <w:rsid w:val="001873C4"/>
    <w:rsid w:val="001907B5"/>
    <w:rsid w:val="001908CC"/>
    <w:rsid w:val="001909A0"/>
    <w:rsid w:val="00190EE3"/>
    <w:rsid w:val="0019234E"/>
    <w:rsid w:val="00192FAA"/>
    <w:rsid w:val="00193421"/>
    <w:rsid w:val="00193433"/>
    <w:rsid w:val="00193AAB"/>
    <w:rsid w:val="00193DF7"/>
    <w:rsid w:val="001946A7"/>
    <w:rsid w:val="00195C81"/>
    <w:rsid w:val="001962CD"/>
    <w:rsid w:val="001965A0"/>
    <w:rsid w:val="001A0BB3"/>
    <w:rsid w:val="001A0C5B"/>
    <w:rsid w:val="001A10AC"/>
    <w:rsid w:val="001A15DE"/>
    <w:rsid w:val="001A1A77"/>
    <w:rsid w:val="001A1C6A"/>
    <w:rsid w:val="001A2056"/>
    <w:rsid w:val="001A3606"/>
    <w:rsid w:val="001A36D4"/>
    <w:rsid w:val="001A3A61"/>
    <w:rsid w:val="001A4727"/>
    <w:rsid w:val="001A51F4"/>
    <w:rsid w:val="001A5287"/>
    <w:rsid w:val="001A60C0"/>
    <w:rsid w:val="001A62F4"/>
    <w:rsid w:val="001A651E"/>
    <w:rsid w:val="001A7D6E"/>
    <w:rsid w:val="001B279C"/>
    <w:rsid w:val="001B29FB"/>
    <w:rsid w:val="001B32FB"/>
    <w:rsid w:val="001B3F32"/>
    <w:rsid w:val="001B40C8"/>
    <w:rsid w:val="001B55FA"/>
    <w:rsid w:val="001B58DA"/>
    <w:rsid w:val="001B5C6A"/>
    <w:rsid w:val="001B6473"/>
    <w:rsid w:val="001B69B8"/>
    <w:rsid w:val="001B6B54"/>
    <w:rsid w:val="001B6B75"/>
    <w:rsid w:val="001B6C97"/>
    <w:rsid w:val="001C0332"/>
    <w:rsid w:val="001C0706"/>
    <w:rsid w:val="001C08C4"/>
    <w:rsid w:val="001C0FD7"/>
    <w:rsid w:val="001C1619"/>
    <w:rsid w:val="001C23DA"/>
    <w:rsid w:val="001C2D81"/>
    <w:rsid w:val="001C321C"/>
    <w:rsid w:val="001C4C93"/>
    <w:rsid w:val="001C51DE"/>
    <w:rsid w:val="001C5BA6"/>
    <w:rsid w:val="001C7189"/>
    <w:rsid w:val="001C73D3"/>
    <w:rsid w:val="001C7BA3"/>
    <w:rsid w:val="001C7E20"/>
    <w:rsid w:val="001D0EDF"/>
    <w:rsid w:val="001D1270"/>
    <w:rsid w:val="001D1FAB"/>
    <w:rsid w:val="001D28B2"/>
    <w:rsid w:val="001D3CF9"/>
    <w:rsid w:val="001D3D1B"/>
    <w:rsid w:val="001D44B7"/>
    <w:rsid w:val="001D50EC"/>
    <w:rsid w:val="001D525A"/>
    <w:rsid w:val="001D59FE"/>
    <w:rsid w:val="001D5D3E"/>
    <w:rsid w:val="001D604D"/>
    <w:rsid w:val="001D6E87"/>
    <w:rsid w:val="001D753F"/>
    <w:rsid w:val="001D7DCC"/>
    <w:rsid w:val="001D7FCC"/>
    <w:rsid w:val="001E03B6"/>
    <w:rsid w:val="001E1143"/>
    <w:rsid w:val="001E132B"/>
    <w:rsid w:val="001E19EF"/>
    <w:rsid w:val="001E251C"/>
    <w:rsid w:val="001E316E"/>
    <w:rsid w:val="001E35BF"/>
    <w:rsid w:val="001E423A"/>
    <w:rsid w:val="001E4401"/>
    <w:rsid w:val="001E4822"/>
    <w:rsid w:val="001E57AB"/>
    <w:rsid w:val="001E5D2F"/>
    <w:rsid w:val="001E5D71"/>
    <w:rsid w:val="001E6215"/>
    <w:rsid w:val="001E64C7"/>
    <w:rsid w:val="001E6CD0"/>
    <w:rsid w:val="001E74A2"/>
    <w:rsid w:val="001E75A6"/>
    <w:rsid w:val="001E7CB8"/>
    <w:rsid w:val="001F01B0"/>
    <w:rsid w:val="001F0E6D"/>
    <w:rsid w:val="001F0E75"/>
    <w:rsid w:val="001F1D37"/>
    <w:rsid w:val="001F1F3D"/>
    <w:rsid w:val="001F21A8"/>
    <w:rsid w:val="001F31B6"/>
    <w:rsid w:val="001F39BC"/>
    <w:rsid w:val="001F3DD1"/>
    <w:rsid w:val="001F4DDF"/>
    <w:rsid w:val="001F4E1C"/>
    <w:rsid w:val="001F5031"/>
    <w:rsid w:val="001F5250"/>
    <w:rsid w:val="001F5852"/>
    <w:rsid w:val="001F6008"/>
    <w:rsid w:val="001F67D6"/>
    <w:rsid w:val="001F6974"/>
    <w:rsid w:val="001F6976"/>
    <w:rsid w:val="0020051B"/>
    <w:rsid w:val="00201A64"/>
    <w:rsid w:val="002028AC"/>
    <w:rsid w:val="00203BBC"/>
    <w:rsid w:val="00203D61"/>
    <w:rsid w:val="00204910"/>
    <w:rsid w:val="00204DE5"/>
    <w:rsid w:val="00204FA5"/>
    <w:rsid w:val="002056B6"/>
    <w:rsid w:val="00205C9E"/>
    <w:rsid w:val="00206392"/>
    <w:rsid w:val="00206DA7"/>
    <w:rsid w:val="00207456"/>
    <w:rsid w:val="002076AD"/>
    <w:rsid w:val="002076D8"/>
    <w:rsid w:val="002103B9"/>
    <w:rsid w:val="00210969"/>
    <w:rsid w:val="0021162A"/>
    <w:rsid w:val="00211A57"/>
    <w:rsid w:val="00211D10"/>
    <w:rsid w:val="00212148"/>
    <w:rsid w:val="00212ACC"/>
    <w:rsid w:val="00212E32"/>
    <w:rsid w:val="00213995"/>
    <w:rsid w:val="00213D23"/>
    <w:rsid w:val="00214047"/>
    <w:rsid w:val="00215777"/>
    <w:rsid w:val="00216DB2"/>
    <w:rsid w:val="002171A2"/>
    <w:rsid w:val="00217508"/>
    <w:rsid w:val="00217A41"/>
    <w:rsid w:val="00217DC5"/>
    <w:rsid w:val="0022003C"/>
    <w:rsid w:val="002201ED"/>
    <w:rsid w:val="002203BB"/>
    <w:rsid w:val="00220895"/>
    <w:rsid w:val="00220B41"/>
    <w:rsid w:val="00220E57"/>
    <w:rsid w:val="00221399"/>
    <w:rsid w:val="00221583"/>
    <w:rsid w:val="00221FEF"/>
    <w:rsid w:val="002220CD"/>
    <w:rsid w:val="00222970"/>
    <w:rsid w:val="002235C6"/>
    <w:rsid w:val="00223A99"/>
    <w:rsid w:val="00223E4D"/>
    <w:rsid w:val="00224979"/>
    <w:rsid w:val="00224A49"/>
    <w:rsid w:val="00225405"/>
    <w:rsid w:val="00225BCB"/>
    <w:rsid w:val="00227303"/>
    <w:rsid w:val="0022785F"/>
    <w:rsid w:val="00230B88"/>
    <w:rsid w:val="00230C80"/>
    <w:rsid w:val="0023198E"/>
    <w:rsid w:val="0023225B"/>
    <w:rsid w:val="00232C52"/>
    <w:rsid w:val="002331AA"/>
    <w:rsid w:val="002332C7"/>
    <w:rsid w:val="0023354C"/>
    <w:rsid w:val="002341A5"/>
    <w:rsid w:val="00235306"/>
    <w:rsid w:val="00235441"/>
    <w:rsid w:val="00235BED"/>
    <w:rsid w:val="002362A9"/>
    <w:rsid w:val="002367A7"/>
    <w:rsid w:val="00236EF2"/>
    <w:rsid w:val="00237BE2"/>
    <w:rsid w:val="00237C6F"/>
    <w:rsid w:val="00240164"/>
    <w:rsid w:val="00240444"/>
    <w:rsid w:val="0024055B"/>
    <w:rsid w:val="00240CB0"/>
    <w:rsid w:val="002417DD"/>
    <w:rsid w:val="00241C40"/>
    <w:rsid w:val="00241F4D"/>
    <w:rsid w:val="0024203D"/>
    <w:rsid w:val="00242D9B"/>
    <w:rsid w:val="0024309B"/>
    <w:rsid w:val="002436B0"/>
    <w:rsid w:val="0024407D"/>
    <w:rsid w:val="002446D6"/>
    <w:rsid w:val="00244D22"/>
    <w:rsid w:val="002450F7"/>
    <w:rsid w:val="00245A4E"/>
    <w:rsid w:val="002467F4"/>
    <w:rsid w:val="00246865"/>
    <w:rsid w:val="002470D1"/>
    <w:rsid w:val="002470FE"/>
    <w:rsid w:val="00247271"/>
    <w:rsid w:val="00247CAF"/>
    <w:rsid w:val="00250239"/>
    <w:rsid w:val="00250321"/>
    <w:rsid w:val="002505A1"/>
    <w:rsid w:val="00250814"/>
    <w:rsid w:val="00250843"/>
    <w:rsid w:val="0025089E"/>
    <w:rsid w:val="0025115E"/>
    <w:rsid w:val="00251C38"/>
    <w:rsid w:val="002524F1"/>
    <w:rsid w:val="00252B73"/>
    <w:rsid w:val="002536A0"/>
    <w:rsid w:val="0025434D"/>
    <w:rsid w:val="002543CA"/>
    <w:rsid w:val="0025461B"/>
    <w:rsid w:val="00254C81"/>
    <w:rsid w:val="002553A2"/>
    <w:rsid w:val="00255C0D"/>
    <w:rsid w:val="00256C61"/>
    <w:rsid w:val="00256F46"/>
    <w:rsid w:val="00256FC3"/>
    <w:rsid w:val="002573A9"/>
    <w:rsid w:val="00257599"/>
    <w:rsid w:val="002578CB"/>
    <w:rsid w:val="00257C3A"/>
    <w:rsid w:val="002600AC"/>
    <w:rsid w:val="00260D9B"/>
    <w:rsid w:val="00260DE8"/>
    <w:rsid w:val="00261981"/>
    <w:rsid w:val="00262AD1"/>
    <w:rsid w:val="002631B3"/>
    <w:rsid w:val="00263C0F"/>
    <w:rsid w:val="002644E1"/>
    <w:rsid w:val="0026483C"/>
    <w:rsid w:val="002649A1"/>
    <w:rsid w:val="00264CA3"/>
    <w:rsid w:val="00265572"/>
    <w:rsid w:val="00266035"/>
    <w:rsid w:val="00267012"/>
    <w:rsid w:val="00267579"/>
    <w:rsid w:val="002678C7"/>
    <w:rsid w:val="002679E9"/>
    <w:rsid w:val="00272137"/>
    <w:rsid w:val="002726CC"/>
    <w:rsid w:val="00273474"/>
    <w:rsid w:val="00273712"/>
    <w:rsid w:val="00274F4A"/>
    <w:rsid w:val="00275E8A"/>
    <w:rsid w:val="0027649D"/>
    <w:rsid w:val="00276C1D"/>
    <w:rsid w:val="00277816"/>
    <w:rsid w:val="00277911"/>
    <w:rsid w:val="00280AF2"/>
    <w:rsid w:val="00280C12"/>
    <w:rsid w:val="002811B4"/>
    <w:rsid w:val="00281FB4"/>
    <w:rsid w:val="002824A0"/>
    <w:rsid w:val="00282D6E"/>
    <w:rsid w:val="002833FE"/>
    <w:rsid w:val="002851FC"/>
    <w:rsid w:val="002857A1"/>
    <w:rsid w:val="00285DCF"/>
    <w:rsid w:val="002869E2"/>
    <w:rsid w:val="00286A65"/>
    <w:rsid w:val="0028717F"/>
    <w:rsid w:val="00287246"/>
    <w:rsid w:val="00287364"/>
    <w:rsid w:val="002875EC"/>
    <w:rsid w:val="00290571"/>
    <w:rsid w:val="00291392"/>
    <w:rsid w:val="00291EE8"/>
    <w:rsid w:val="00294899"/>
    <w:rsid w:val="00294E7E"/>
    <w:rsid w:val="00295013"/>
    <w:rsid w:val="00295810"/>
    <w:rsid w:val="0029640B"/>
    <w:rsid w:val="00296A9F"/>
    <w:rsid w:val="00297193"/>
    <w:rsid w:val="00297742"/>
    <w:rsid w:val="00297756"/>
    <w:rsid w:val="002977D2"/>
    <w:rsid w:val="002A06F1"/>
    <w:rsid w:val="002A091E"/>
    <w:rsid w:val="002A0F6B"/>
    <w:rsid w:val="002A14E3"/>
    <w:rsid w:val="002A1BE6"/>
    <w:rsid w:val="002A1E70"/>
    <w:rsid w:val="002A2115"/>
    <w:rsid w:val="002A24EA"/>
    <w:rsid w:val="002A2BF9"/>
    <w:rsid w:val="002A3DD6"/>
    <w:rsid w:val="002A56C4"/>
    <w:rsid w:val="002A5938"/>
    <w:rsid w:val="002A69EA"/>
    <w:rsid w:val="002A6AAD"/>
    <w:rsid w:val="002A724D"/>
    <w:rsid w:val="002A79A2"/>
    <w:rsid w:val="002A7CB6"/>
    <w:rsid w:val="002B01DA"/>
    <w:rsid w:val="002B0B6B"/>
    <w:rsid w:val="002B1287"/>
    <w:rsid w:val="002B240D"/>
    <w:rsid w:val="002B28A9"/>
    <w:rsid w:val="002B2D48"/>
    <w:rsid w:val="002B2F92"/>
    <w:rsid w:val="002B2F97"/>
    <w:rsid w:val="002B346E"/>
    <w:rsid w:val="002B3709"/>
    <w:rsid w:val="002B3C4E"/>
    <w:rsid w:val="002B3D48"/>
    <w:rsid w:val="002B47F2"/>
    <w:rsid w:val="002B4EBD"/>
    <w:rsid w:val="002B5041"/>
    <w:rsid w:val="002B52AB"/>
    <w:rsid w:val="002B5B92"/>
    <w:rsid w:val="002B6277"/>
    <w:rsid w:val="002B6572"/>
    <w:rsid w:val="002B6DD5"/>
    <w:rsid w:val="002B7DB8"/>
    <w:rsid w:val="002C03AF"/>
    <w:rsid w:val="002C0821"/>
    <w:rsid w:val="002C0D4E"/>
    <w:rsid w:val="002C0EF2"/>
    <w:rsid w:val="002C17D0"/>
    <w:rsid w:val="002C1AD2"/>
    <w:rsid w:val="002C1E97"/>
    <w:rsid w:val="002C1ED8"/>
    <w:rsid w:val="002C2184"/>
    <w:rsid w:val="002C29B7"/>
    <w:rsid w:val="002C49C5"/>
    <w:rsid w:val="002C521A"/>
    <w:rsid w:val="002C5535"/>
    <w:rsid w:val="002C5D0A"/>
    <w:rsid w:val="002C6384"/>
    <w:rsid w:val="002C64FB"/>
    <w:rsid w:val="002C6689"/>
    <w:rsid w:val="002C67D4"/>
    <w:rsid w:val="002C72BF"/>
    <w:rsid w:val="002C7A53"/>
    <w:rsid w:val="002C7C1E"/>
    <w:rsid w:val="002C7C29"/>
    <w:rsid w:val="002D3AE7"/>
    <w:rsid w:val="002D3BBD"/>
    <w:rsid w:val="002D4818"/>
    <w:rsid w:val="002D4CB2"/>
    <w:rsid w:val="002E0236"/>
    <w:rsid w:val="002E0474"/>
    <w:rsid w:val="002E0E8E"/>
    <w:rsid w:val="002E1B86"/>
    <w:rsid w:val="002E2005"/>
    <w:rsid w:val="002E22EA"/>
    <w:rsid w:val="002E230D"/>
    <w:rsid w:val="002E29BC"/>
    <w:rsid w:val="002E2FFB"/>
    <w:rsid w:val="002E3767"/>
    <w:rsid w:val="002E3D99"/>
    <w:rsid w:val="002E49D6"/>
    <w:rsid w:val="002E4ACA"/>
    <w:rsid w:val="002E5E1F"/>
    <w:rsid w:val="002E6BB5"/>
    <w:rsid w:val="002E7A22"/>
    <w:rsid w:val="002F0881"/>
    <w:rsid w:val="002F17CB"/>
    <w:rsid w:val="002F2231"/>
    <w:rsid w:val="002F2445"/>
    <w:rsid w:val="002F2B1B"/>
    <w:rsid w:val="002F3DE5"/>
    <w:rsid w:val="002F41AC"/>
    <w:rsid w:val="002F5427"/>
    <w:rsid w:val="002F5468"/>
    <w:rsid w:val="002F5797"/>
    <w:rsid w:val="002F6082"/>
    <w:rsid w:val="002F60F5"/>
    <w:rsid w:val="002F69B5"/>
    <w:rsid w:val="002F7106"/>
    <w:rsid w:val="002F717E"/>
    <w:rsid w:val="00300C40"/>
    <w:rsid w:val="003011FC"/>
    <w:rsid w:val="00301B1F"/>
    <w:rsid w:val="00302471"/>
    <w:rsid w:val="00302E33"/>
    <w:rsid w:val="00303905"/>
    <w:rsid w:val="00304B4E"/>
    <w:rsid w:val="00304D76"/>
    <w:rsid w:val="003050F1"/>
    <w:rsid w:val="0030585E"/>
    <w:rsid w:val="00305D3C"/>
    <w:rsid w:val="00305D5D"/>
    <w:rsid w:val="00307129"/>
    <w:rsid w:val="00307A82"/>
    <w:rsid w:val="00310168"/>
    <w:rsid w:val="00310C9A"/>
    <w:rsid w:val="00311402"/>
    <w:rsid w:val="00311A9E"/>
    <w:rsid w:val="00312A9E"/>
    <w:rsid w:val="003132B3"/>
    <w:rsid w:val="00315911"/>
    <w:rsid w:val="00315D7A"/>
    <w:rsid w:val="00315E6C"/>
    <w:rsid w:val="003160FA"/>
    <w:rsid w:val="00316632"/>
    <w:rsid w:val="003166B6"/>
    <w:rsid w:val="0031684C"/>
    <w:rsid w:val="0031701C"/>
    <w:rsid w:val="00317675"/>
    <w:rsid w:val="00317DA3"/>
    <w:rsid w:val="003206EF"/>
    <w:rsid w:val="00320A96"/>
    <w:rsid w:val="00320B3C"/>
    <w:rsid w:val="00322A4E"/>
    <w:rsid w:val="00322E9A"/>
    <w:rsid w:val="003235A2"/>
    <w:rsid w:val="003254C7"/>
    <w:rsid w:val="00325515"/>
    <w:rsid w:val="003259E8"/>
    <w:rsid w:val="00325B21"/>
    <w:rsid w:val="003271B4"/>
    <w:rsid w:val="003275B0"/>
    <w:rsid w:val="0032790E"/>
    <w:rsid w:val="00327911"/>
    <w:rsid w:val="0033052A"/>
    <w:rsid w:val="003308D8"/>
    <w:rsid w:val="003314FC"/>
    <w:rsid w:val="00331F90"/>
    <w:rsid w:val="00332124"/>
    <w:rsid w:val="003327A0"/>
    <w:rsid w:val="00332859"/>
    <w:rsid w:val="00332B2E"/>
    <w:rsid w:val="00332DC2"/>
    <w:rsid w:val="003331A4"/>
    <w:rsid w:val="0033428C"/>
    <w:rsid w:val="00334380"/>
    <w:rsid w:val="003355E7"/>
    <w:rsid w:val="00335702"/>
    <w:rsid w:val="00336579"/>
    <w:rsid w:val="00336798"/>
    <w:rsid w:val="003367F5"/>
    <w:rsid w:val="00337AFE"/>
    <w:rsid w:val="00340704"/>
    <w:rsid w:val="00340A85"/>
    <w:rsid w:val="0034106A"/>
    <w:rsid w:val="00341AD4"/>
    <w:rsid w:val="00341B1B"/>
    <w:rsid w:val="003424E0"/>
    <w:rsid w:val="003427E2"/>
    <w:rsid w:val="00342A0F"/>
    <w:rsid w:val="00342D45"/>
    <w:rsid w:val="003431AF"/>
    <w:rsid w:val="00343F66"/>
    <w:rsid w:val="00344515"/>
    <w:rsid w:val="00345A67"/>
    <w:rsid w:val="003463AA"/>
    <w:rsid w:val="0034797F"/>
    <w:rsid w:val="00350509"/>
    <w:rsid w:val="003506CE"/>
    <w:rsid w:val="00350908"/>
    <w:rsid w:val="00351EC0"/>
    <w:rsid w:val="00352A5A"/>
    <w:rsid w:val="00354963"/>
    <w:rsid w:val="00354AC5"/>
    <w:rsid w:val="00354F48"/>
    <w:rsid w:val="003550A7"/>
    <w:rsid w:val="0035584B"/>
    <w:rsid w:val="0035627B"/>
    <w:rsid w:val="00356EBD"/>
    <w:rsid w:val="0035736C"/>
    <w:rsid w:val="00357A3C"/>
    <w:rsid w:val="00357FE8"/>
    <w:rsid w:val="00360300"/>
    <w:rsid w:val="00360377"/>
    <w:rsid w:val="00360D6E"/>
    <w:rsid w:val="00360EC3"/>
    <w:rsid w:val="003614BB"/>
    <w:rsid w:val="00361542"/>
    <w:rsid w:val="00362E3C"/>
    <w:rsid w:val="00363661"/>
    <w:rsid w:val="00363D16"/>
    <w:rsid w:val="00363DFC"/>
    <w:rsid w:val="0036450B"/>
    <w:rsid w:val="003646E0"/>
    <w:rsid w:val="00364E66"/>
    <w:rsid w:val="00364E7B"/>
    <w:rsid w:val="00364FD8"/>
    <w:rsid w:val="00365816"/>
    <w:rsid w:val="00365B6A"/>
    <w:rsid w:val="00365BC4"/>
    <w:rsid w:val="00365F92"/>
    <w:rsid w:val="00366D55"/>
    <w:rsid w:val="00367679"/>
    <w:rsid w:val="00367EE9"/>
    <w:rsid w:val="00370048"/>
    <w:rsid w:val="00371112"/>
    <w:rsid w:val="003719EF"/>
    <w:rsid w:val="003720D2"/>
    <w:rsid w:val="00374004"/>
    <w:rsid w:val="00375729"/>
    <w:rsid w:val="00375A37"/>
    <w:rsid w:val="00376181"/>
    <w:rsid w:val="00376A1F"/>
    <w:rsid w:val="00376DA8"/>
    <w:rsid w:val="00377919"/>
    <w:rsid w:val="00377DC7"/>
    <w:rsid w:val="003807F4"/>
    <w:rsid w:val="00380D12"/>
    <w:rsid w:val="00381454"/>
    <w:rsid w:val="0038286A"/>
    <w:rsid w:val="00383863"/>
    <w:rsid w:val="00383B13"/>
    <w:rsid w:val="00383E01"/>
    <w:rsid w:val="00384118"/>
    <w:rsid w:val="00384C7C"/>
    <w:rsid w:val="00384C98"/>
    <w:rsid w:val="003851ED"/>
    <w:rsid w:val="00385342"/>
    <w:rsid w:val="00386469"/>
    <w:rsid w:val="00386CD0"/>
    <w:rsid w:val="00387923"/>
    <w:rsid w:val="00390094"/>
    <w:rsid w:val="0039068B"/>
    <w:rsid w:val="0039074F"/>
    <w:rsid w:val="00390E0D"/>
    <w:rsid w:val="00392412"/>
    <w:rsid w:val="003924C0"/>
    <w:rsid w:val="00392AC6"/>
    <w:rsid w:val="00392BB7"/>
    <w:rsid w:val="0039478A"/>
    <w:rsid w:val="00394D1D"/>
    <w:rsid w:val="0039524A"/>
    <w:rsid w:val="00395334"/>
    <w:rsid w:val="003958B3"/>
    <w:rsid w:val="00396003"/>
    <w:rsid w:val="003962C8"/>
    <w:rsid w:val="003962DF"/>
    <w:rsid w:val="00396DCC"/>
    <w:rsid w:val="00397365"/>
    <w:rsid w:val="003A0088"/>
    <w:rsid w:val="003A0772"/>
    <w:rsid w:val="003A131E"/>
    <w:rsid w:val="003A147C"/>
    <w:rsid w:val="003A21AB"/>
    <w:rsid w:val="003A329A"/>
    <w:rsid w:val="003A3487"/>
    <w:rsid w:val="003A38DA"/>
    <w:rsid w:val="003A3AE0"/>
    <w:rsid w:val="003A3E21"/>
    <w:rsid w:val="003A4482"/>
    <w:rsid w:val="003A4CAD"/>
    <w:rsid w:val="003A4F2D"/>
    <w:rsid w:val="003A5768"/>
    <w:rsid w:val="003A5B44"/>
    <w:rsid w:val="003A685E"/>
    <w:rsid w:val="003A69D4"/>
    <w:rsid w:val="003A6B05"/>
    <w:rsid w:val="003A722E"/>
    <w:rsid w:val="003A7F0C"/>
    <w:rsid w:val="003B0A06"/>
    <w:rsid w:val="003B0A0A"/>
    <w:rsid w:val="003B16CB"/>
    <w:rsid w:val="003B1E67"/>
    <w:rsid w:val="003B2287"/>
    <w:rsid w:val="003B26F9"/>
    <w:rsid w:val="003B27E8"/>
    <w:rsid w:val="003B2B9A"/>
    <w:rsid w:val="003B36B0"/>
    <w:rsid w:val="003B42FC"/>
    <w:rsid w:val="003B477D"/>
    <w:rsid w:val="003B4A82"/>
    <w:rsid w:val="003B4CDF"/>
    <w:rsid w:val="003B5097"/>
    <w:rsid w:val="003B575A"/>
    <w:rsid w:val="003B686A"/>
    <w:rsid w:val="003C08F6"/>
    <w:rsid w:val="003C0D81"/>
    <w:rsid w:val="003C275B"/>
    <w:rsid w:val="003C27DA"/>
    <w:rsid w:val="003C330E"/>
    <w:rsid w:val="003C331C"/>
    <w:rsid w:val="003C4A50"/>
    <w:rsid w:val="003C51A0"/>
    <w:rsid w:val="003C5A5C"/>
    <w:rsid w:val="003C5F1B"/>
    <w:rsid w:val="003C6BD4"/>
    <w:rsid w:val="003C6D26"/>
    <w:rsid w:val="003C7094"/>
    <w:rsid w:val="003D00C9"/>
    <w:rsid w:val="003D0240"/>
    <w:rsid w:val="003D0700"/>
    <w:rsid w:val="003D0F0B"/>
    <w:rsid w:val="003D1809"/>
    <w:rsid w:val="003D18B7"/>
    <w:rsid w:val="003D197A"/>
    <w:rsid w:val="003D1E48"/>
    <w:rsid w:val="003D2625"/>
    <w:rsid w:val="003D28DB"/>
    <w:rsid w:val="003D29C9"/>
    <w:rsid w:val="003D2BC4"/>
    <w:rsid w:val="003D3938"/>
    <w:rsid w:val="003D4589"/>
    <w:rsid w:val="003D47D9"/>
    <w:rsid w:val="003D5930"/>
    <w:rsid w:val="003D65C1"/>
    <w:rsid w:val="003D74FD"/>
    <w:rsid w:val="003E0C40"/>
    <w:rsid w:val="003E10B6"/>
    <w:rsid w:val="003E2AFF"/>
    <w:rsid w:val="003E3808"/>
    <w:rsid w:val="003E3850"/>
    <w:rsid w:val="003E3972"/>
    <w:rsid w:val="003E50C8"/>
    <w:rsid w:val="003E5147"/>
    <w:rsid w:val="003E5149"/>
    <w:rsid w:val="003E5933"/>
    <w:rsid w:val="003E5CFB"/>
    <w:rsid w:val="003E67A0"/>
    <w:rsid w:val="003E67B9"/>
    <w:rsid w:val="003F127F"/>
    <w:rsid w:val="003F1643"/>
    <w:rsid w:val="003F2C20"/>
    <w:rsid w:val="003F2F72"/>
    <w:rsid w:val="003F3321"/>
    <w:rsid w:val="003F3FB5"/>
    <w:rsid w:val="003F4279"/>
    <w:rsid w:val="003F4BDA"/>
    <w:rsid w:val="003F62E9"/>
    <w:rsid w:val="003F6C54"/>
    <w:rsid w:val="003F7CFA"/>
    <w:rsid w:val="00400101"/>
    <w:rsid w:val="004013B4"/>
    <w:rsid w:val="00401FB1"/>
    <w:rsid w:val="00402619"/>
    <w:rsid w:val="00402F5F"/>
    <w:rsid w:val="00403159"/>
    <w:rsid w:val="004039BC"/>
    <w:rsid w:val="00403D89"/>
    <w:rsid w:val="0040487A"/>
    <w:rsid w:val="00406800"/>
    <w:rsid w:val="0040736A"/>
    <w:rsid w:val="004076A7"/>
    <w:rsid w:val="004077AD"/>
    <w:rsid w:val="00407C9A"/>
    <w:rsid w:val="00410493"/>
    <w:rsid w:val="00410D61"/>
    <w:rsid w:val="004111B3"/>
    <w:rsid w:val="00411E5A"/>
    <w:rsid w:val="00411FE7"/>
    <w:rsid w:val="00412030"/>
    <w:rsid w:val="004146A7"/>
    <w:rsid w:val="0041568B"/>
    <w:rsid w:val="004157FC"/>
    <w:rsid w:val="00415B13"/>
    <w:rsid w:val="00416181"/>
    <w:rsid w:val="004161CF"/>
    <w:rsid w:val="00416948"/>
    <w:rsid w:val="004173D2"/>
    <w:rsid w:val="004174CA"/>
    <w:rsid w:val="00417C84"/>
    <w:rsid w:val="00417E7A"/>
    <w:rsid w:val="004207D0"/>
    <w:rsid w:val="00421CAF"/>
    <w:rsid w:val="004231DC"/>
    <w:rsid w:val="00423817"/>
    <w:rsid w:val="0042422A"/>
    <w:rsid w:val="00424A80"/>
    <w:rsid w:val="00424EA2"/>
    <w:rsid w:val="00425A6F"/>
    <w:rsid w:val="00425C0E"/>
    <w:rsid w:val="00425DCB"/>
    <w:rsid w:val="0042619C"/>
    <w:rsid w:val="004264EA"/>
    <w:rsid w:val="00426C89"/>
    <w:rsid w:val="00427531"/>
    <w:rsid w:val="00427D08"/>
    <w:rsid w:val="00430817"/>
    <w:rsid w:val="004311CA"/>
    <w:rsid w:val="00431813"/>
    <w:rsid w:val="004327EC"/>
    <w:rsid w:val="004328A1"/>
    <w:rsid w:val="0043319B"/>
    <w:rsid w:val="004332C4"/>
    <w:rsid w:val="00433585"/>
    <w:rsid w:val="004343EA"/>
    <w:rsid w:val="004362B9"/>
    <w:rsid w:val="00436E1D"/>
    <w:rsid w:val="00436E82"/>
    <w:rsid w:val="0043795C"/>
    <w:rsid w:val="00437CF1"/>
    <w:rsid w:val="00440284"/>
    <w:rsid w:val="0044092E"/>
    <w:rsid w:val="00440E89"/>
    <w:rsid w:val="00440F37"/>
    <w:rsid w:val="0044112D"/>
    <w:rsid w:val="004420A0"/>
    <w:rsid w:val="00442606"/>
    <w:rsid w:val="00442BCE"/>
    <w:rsid w:val="00442F58"/>
    <w:rsid w:val="00444034"/>
    <w:rsid w:val="00444D23"/>
    <w:rsid w:val="0044516F"/>
    <w:rsid w:val="004457ED"/>
    <w:rsid w:val="00445BC5"/>
    <w:rsid w:val="00445F5A"/>
    <w:rsid w:val="00446E5D"/>
    <w:rsid w:val="00446F61"/>
    <w:rsid w:val="004474F3"/>
    <w:rsid w:val="00447EEE"/>
    <w:rsid w:val="00450E18"/>
    <w:rsid w:val="00450EB5"/>
    <w:rsid w:val="00452BD0"/>
    <w:rsid w:val="004541F1"/>
    <w:rsid w:val="00454A77"/>
    <w:rsid w:val="00455478"/>
    <w:rsid w:val="00455B26"/>
    <w:rsid w:val="00455C70"/>
    <w:rsid w:val="00455CE2"/>
    <w:rsid w:val="00460593"/>
    <w:rsid w:val="00460982"/>
    <w:rsid w:val="00460B02"/>
    <w:rsid w:val="004613B3"/>
    <w:rsid w:val="00461DA6"/>
    <w:rsid w:val="00461E02"/>
    <w:rsid w:val="004623B2"/>
    <w:rsid w:val="00462C3F"/>
    <w:rsid w:val="00462E9F"/>
    <w:rsid w:val="00463535"/>
    <w:rsid w:val="00463661"/>
    <w:rsid w:val="00463F12"/>
    <w:rsid w:val="0046416B"/>
    <w:rsid w:val="00465475"/>
    <w:rsid w:val="00466CE4"/>
    <w:rsid w:val="004673E0"/>
    <w:rsid w:val="00470BC7"/>
    <w:rsid w:val="00470E13"/>
    <w:rsid w:val="00472B36"/>
    <w:rsid w:val="00472BDF"/>
    <w:rsid w:val="00472F1E"/>
    <w:rsid w:val="004732DA"/>
    <w:rsid w:val="004736B8"/>
    <w:rsid w:val="00473742"/>
    <w:rsid w:val="0047415E"/>
    <w:rsid w:val="0047520D"/>
    <w:rsid w:val="00475EF2"/>
    <w:rsid w:val="00476BA7"/>
    <w:rsid w:val="00477142"/>
    <w:rsid w:val="00477427"/>
    <w:rsid w:val="00477B9C"/>
    <w:rsid w:val="00477C9F"/>
    <w:rsid w:val="00477D0E"/>
    <w:rsid w:val="00480176"/>
    <w:rsid w:val="00480685"/>
    <w:rsid w:val="0048092A"/>
    <w:rsid w:val="00481020"/>
    <w:rsid w:val="00481517"/>
    <w:rsid w:val="00481941"/>
    <w:rsid w:val="00481D68"/>
    <w:rsid w:val="00482CA6"/>
    <w:rsid w:val="0048388A"/>
    <w:rsid w:val="004849D4"/>
    <w:rsid w:val="00487087"/>
    <w:rsid w:val="0048736D"/>
    <w:rsid w:val="0048780D"/>
    <w:rsid w:val="00487B58"/>
    <w:rsid w:val="00487DC4"/>
    <w:rsid w:val="00490476"/>
    <w:rsid w:val="00490E0F"/>
    <w:rsid w:val="0049119B"/>
    <w:rsid w:val="00491A4E"/>
    <w:rsid w:val="00491DEA"/>
    <w:rsid w:val="00492405"/>
    <w:rsid w:val="00492D56"/>
    <w:rsid w:val="0049316A"/>
    <w:rsid w:val="004939A7"/>
    <w:rsid w:val="004939F3"/>
    <w:rsid w:val="00494155"/>
    <w:rsid w:val="004963AA"/>
    <w:rsid w:val="004963DD"/>
    <w:rsid w:val="0049681C"/>
    <w:rsid w:val="00497B01"/>
    <w:rsid w:val="004A0A9E"/>
    <w:rsid w:val="004A0B05"/>
    <w:rsid w:val="004A1147"/>
    <w:rsid w:val="004A1842"/>
    <w:rsid w:val="004A1C9A"/>
    <w:rsid w:val="004A244A"/>
    <w:rsid w:val="004A25E4"/>
    <w:rsid w:val="004A37A2"/>
    <w:rsid w:val="004A3E68"/>
    <w:rsid w:val="004A4CD0"/>
    <w:rsid w:val="004A6632"/>
    <w:rsid w:val="004A7289"/>
    <w:rsid w:val="004A7C76"/>
    <w:rsid w:val="004B08BB"/>
    <w:rsid w:val="004B0A23"/>
    <w:rsid w:val="004B1A21"/>
    <w:rsid w:val="004B1C67"/>
    <w:rsid w:val="004B1D25"/>
    <w:rsid w:val="004B1E69"/>
    <w:rsid w:val="004B2C33"/>
    <w:rsid w:val="004B37AD"/>
    <w:rsid w:val="004B3A4C"/>
    <w:rsid w:val="004B46F9"/>
    <w:rsid w:val="004B4F67"/>
    <w:rsid w:val="004B56CA"/>
    <w:rsid w:val="004B57DB"/>
    <w:rsid w:val="004B617E"/>
    <w:rsid w:val="004B750F"/>
    <w:rsid w:val="004B75ED"/>
    <w:rsid w:val="004C009C"/>
    <w:rsid w:val="004C0644"/>
    <w:rsid w:val="004C0A82"/>
    <w:rsid w:val="004C1CA6"/>
    <w:rsid w:val="004C237C"/>
    <w:rsid w:val="004C2896"/>
    <w:rsid w:val="004C323C"/>
    <w:rsid w:val="004C33FD"/>
    <w:rsid w:val="004C3404"/>
    <w:rsid w:val="004C374A"/>
    <w:rsid w:val="004C39E5"/>
    <w:rsid w:val="004C3F63"/>
    <w:rsid w:val="004C4AF8"/>
    <w:rsid w:val="004C4E22"/>
    <w:rsid w:val="004C4F59"/>
    <w:rsid w:val="004C627D"/>
    <w:rsid w:val="004C63A3"/>
    <w:rsid w:val="004C785A"/>
    <w:rsid w:val="004C78A8"/>
    <w:rsid w:val="004D018E"/>
    <w:rsid w:val="004D045B"/>
    <w:rsid w:val="004D2541"/>
    <w:rsid w:val="004D30DC"/>
    <w:rsid w:val="004D321C"/>
    <w:rsid w:val="004D3B49"/>
    <w:rsid w:val="004D49FD"/>
    <w:rsid w:val="004D4BC2"/>
    <w:rsid w:val="004D56C6"/>
    <w:rsid w:val="004D61F9"/>
    <w:rsid w:val="004D6508"/>
    <w:rsid w:val="004D6DCE"/>
    <w:rsid w:val="004D7178"/>
    <w:rsid w:val="004D7B07"/>
    <w:rsid w:val="004E041D"/>
    <w:rsid w:val="004E0784"/>
    <w:rsid w:val="004E0B95"/>
    <w:rsid w:val="004E0C78"/>
    <w:rsid w:val="004E1277"/>
    <w:rsid w:val="004E13E3"/>
    <w:rsid w:val="004E17CE"/>
    <w:rsid w:val="004E1956"/>
    <w:rsid w:val="004E1D8F"/>
    <w:rsid w:val="004E483A"/>
    <w:rsid w:val="004E4C2B"/>
    <w:rsid w:val="004E4DB3"/>
    <w:rsid w:val="004E529F"/>
    <w:rsid w:val="004E60AB"/>
    <w:rsid w:val="004E67A1"/>
    <w:rsid w:val="004F06EC"/>
    <w:rsid w:val="004F0838"/>
    <w:rsid w:val="004F1666"/>
    <w:rsid w:val="004F1B7F"/>
    <w:rsid w:val="004F1D01"/>
    <w:rsid w:val="004F2829"/>
    <w:rsid w:val="004F3A74"/>
    <w:rsid w:val="004F3C46"/>
    <w:rsid w:val="004F3FF0"/>
    <w:rsid w:val="004F4242"/>
    <w:rsid w:val="004F491A"/>
    <w:rsid w:val="004F4987"/>
    <w:rsid w:val="004F53C8"/>
    <w:rsid w:val="004F5447"/>
    <w:rsid w:val="004F5E07"/>
    <w:rsid w:val="004F6070"/>
    <w:rsid w:val="004F735D"/>
    <w:rsid w:val="004F73F4"/>
    <w:rsid w:val="0050082A"/>
    <w:rsid w:val="00500D98"/>
    <w:rsid w:val="005013E2"/>
    <w:rsid w:val="00502D90"/>
    <w:rsid w:val="00502E31"/>
    <w:rsid w:val="00502FFF"/>
    <w:rsid w:val="00503CB1"/>
    <w:rsid w:val="00503D40"/>
    <w:rsid w:val="005041E3"/>
    <w:rsid w:val="0050435A"/>
    <w:rsid w:val="00504AD7"/>
    <w:rsid w:val="00505DF5"/>
    <w:rsid w:val="00507910"/>
    <w:rsid w:val="005101E1"/>
    <w:rsid w:val="0051024B"/>
    <w:rsid w:val="00512785"/>
    <w:rsid w:val="0051331A"/>
    <w:rsid w:val="0051358A"/>
    <w:rsid w:val="005135BE"/>
    <w:rsid w:val="00513D1C"/>
    <w:rsid w:val="00514032"/>
    <w:rsid w:val="00514062"/>
    <w:rsid w:val="00514740"/>
    <w:rsid w:val="00514CE6"/>
    <w:rsid w:val="00515103"/>
    <w:rsid w:val="00515365"/>
    <w:rsid w:val="005159ED"/>
    <w:rsid w:val="00515EE9"/>
    <w:rsid w:val="00515F74"/>
    <w:rsid w:val="00515F93"/>
    <w:rsid w:val="00517184"/>
    <w:rsid w:val="00517449"/>
    <w:rsid w:val="00520839"/>
    <w:rsid w:val="00520912"/>
    <w:rsid w:val="005209B7"/>
    <w:rsid w:val="005221C2"/>
    <w:rsid w:val="0052228B"/>
    <w:rsid w:val="00522C2F"/>
    <w:rsid w:val="005238AA"/>
    <w:rsid w:val="00523DD1"/>
    <w:rsid w:val="005242DC"/>
    <w:rsid w:val="005243BC"/>
    <w:rsid w:val="005249FB"/>
    <w:rsid w:val="00524FDE"/>
    <w:rsid w:val="005254AD"/>
    <w:rsid w:val="00525880"/>
    <w:rsid w:val="00525F8E"/>
    <w:rsid w:val="00526055"/>
    <w:rsid w:val="00526607"/>
    <w:rsid w:val="00526BA2"/>
    <w:rsid w:val="005272C5"/>
    <w:rsid w:val="00527773"/>
    <w:rsid w:val="00527BAC"/>
    <w:rsid w:val="00530B07"/>
    <w:rsid w:val="00530C62"/>
    <w:rsid w:val="00530FF0"/>
    <w:rsid w:val="00531055"/>
    <w:rsid w:val="0053178E"/>
    <w:rsid w:val="00531828"/>
    <w:rsid w:val="00531F64"/>
    <w:rsid w:val="00532544"/>
    <w:rsid w:val="00532BDB"/>
    <w:rsid w:val="005333BC"/>
    <w:rsid w:val="0053411A"/>
    <w:rsid w:val="00534789"/>
    <w:rsid w:val="00534815"/>
    <w:rsid w:val="00534AC4"/>
    <w:rsid w:val="0053678E"/>
    <w:rsid w:val="00536B32"/>
    <w:rsid w:val="005370E0"/>
    <w:rsid w:val="005379B1"/>
    <w:rsid w:val="00540181"/>
    <w:rsid w:val="005423C9"/>
    <w:rsid w:val="0054293E"/>
    <w:rsid w:val="00542C04"/>
    <w:rsid w:val="00543578"/>
    <w:rsid w:val="005443BE"/>
    <w:rsid w:val="00544576"/>
    <w:rsid w:val="00544D0B"/>
    <w:rsid w:val="00545A83"/>
    <w:rsid w:val="00546B86"/>
    <w:rsid w:val="005514E8"/>
    <w:rsid w:val="005519B2"/>
    <w:rsid w:val="005521F3"/>
    <w:rsid w:val="0055224E"/>
    <w:rsid w:val="00552B8E"/>
    <w:rsid w:val="00552C3B"/>
    <w:rsid w:val="00552C84"/>
    <w:rsid w:val="0055306B"/>
    <w:rsid w:val="00554030"/>
    <w:rsid w:val="00554936"/>
    <w:rsid w:val="00554A03"/>
    <w:rsid w:val="00555420"/>
    <w:rsid w:val="0055545B"/>
    <w:rsid w:val="005557DA"/>
    <w:rsid w:val="0055628F"/>
    <w:rsid w:val="00556342"/>
    <w:rsid w:val="00556E90"/>
    <w:rsid w:val="00556FCF"/>
    <w:rsid w:val="005609E8"/>
    <w:rsid w:val="00560C9B"/>
    <w:rsid w:val="00561884"/>
    <w:rsid w:val="00561CBB"/>
    <w:rsid w:val="00562124"/>
    <w:rsid w:val="00562236"/>
    <w:rsid w:val="005628D7"/>
    <w:rsid w:val="00562B78"/>
    <w:rsid w:val="005635E2"/>
    <w:rsid w:val="00563738"/>
    <w:rsid w:val="005644E5"/>
    <w:rsid w:val="00564DE6"/>
    <w:rsid w:val="0056538F"/>
    <w:rsid w:val="00567086"/>
    <w:rsid w:val="00567495"/>
    <w:rsid w:val="00567C13"/>
    <w:rsid w:val="00570820"/>
    <w:rsid w:val="00570C7C"/>
    <w:rsid w:val="0057160C"/>
    <w:rsid w:val="005716E6"/>
    <w:rsid w:val="0057190D"/>
    <w:rsid w:val="0057355F"/>
    <w:rsid w:val="00573E6B"/>
    <w:rsid w:val="00575991"/>
    <w:rsid w:val="00576161"/>
    <w:rsid w:val="00577763"/>
    <w:rsid w:val="00580000"/>
    <w:rsid w:val="00580DF8"/>
    <w:rsid w:val="00581214"/>
    <w:rsid w:val="005812B8"/>
    <w:rsid w:val="005817F5"/>
    <w:rsid w:val="00581C39"/>
    <w:rsid w:val="005833C4"/>
    <w:rsid w:val="005836FC"/>
    <w:rsid w:val="0058382D"/>
    <w:rsid w:val="00584095"/>
    <w:rsid w:val="005840AF"/>
    <w:rsid w:val="0058413B"/>
    <w:rsid w:val="00585359"/>
    <w:rsid w:val="00585E25"/>
    <w:rsid w:val="00585FBC"/>
    <w:rsid w:val="0058613F"/>
    <w:rsid w:val="005866E1"/>
    <w:rsid w:val="00587429"/>
    <w:rsid w:val="00587C6B"/>
    <w:rsid w:val="005903CB"/>
    <w:rsid w:val="0059064B"/>
    <w:rsid w:val="00590699"/>
    <w:rsid w:val="00590C5C"/>
    <w:rsid w:val="00590D65"/>
    <w:rsid w:val="0059168B"/>
    <w:rsid w:val="00592763"/>
    <w:rsid w:val="005928E6"/>
    <w:rsid w:val="00593698"/>
    <w:rsid w:val="00593B61"/>
    <w:rsid w:val="00594A7F"/>
    <w:rsid w:val="00594E1E"/>
    <w:rsid w:val="0059584A"/>
    <w:rsid w:val="00595A98"/>
    <w:rsid w:val="00596645"/>
    <w:rsid w:val="005979CB"/>
    <w:rsid w:val="005A001D"/>
    <w:rsid w:val="005A0780"/>
    <w:rsid w:val="005A07A4"/>
    <w:rsid w:val="005A1C44"/>
    <w:rsid w:val="005A216E"/>
    <w:rsid w:val="005A2272"/>
    <w:rsid w:val="005A2FEA"/>
    <w:rsid w:val="005A49BB"/>
    <w:rsid w:val="005A5B65"/>
    <w:rsid w:val="005A6914"/>
    <w:rsid w:val="005A73D2"/>
    <w:rsid w:val="005A7FBE"/>
    <w:rsid w:val="005B0501"/>
    <w:rsid w:val="005B156D"/>
    <w:rsid w:val="005B163D"/>
    <w:rsid w:val="005B2949"/>
    <w:rsid w:val="005B313C"/>
    <w:rsid w:val="005B332C"/>
    <w:rsid w:val="005B4E00"/>
    <w:rsid w:val="005B606F"/>
    <w:rsid w:val="005B6FBF"/>
    <w:rsid w:val="005B735F"/>
    <w:rsid w:val="005B7F81"/>
    <w:rsid w:val="005C07E4"/>
    <w:rsid w:val="005C0F33"/>
    <w:rsid w:val="005C11AD"/>
    <w:rsid w:val="005C132D"/>
    <w:rsid w:val="005C19D0"/>
    <w:rsid w:val="005C229F"/>
    <w:rsid w:val="005C2FE1"/>
    <w:rsid w:val="005C3A76"/>
    <w:rsid w:val="005C3D36"/>
    <w:rsid w:val="005C4A25"/>
    <w:rsid w:val="005C4B49"/>
    <w:rsid w:val="005C5616"/>
    <w:rsid w:val="005C5B4D"/>
    <w:rsid w:val="005C674B"/>
    <w:rsid w:val="005C75E4"/>
    <w:rsid w:val="005C762D"/>
    <w:rsid w:val="005C76B2"/>
    <w:rsid w:val="005C7FD1"/>
    <w:rsid w:val="005D1543"/>
    <w:rsid w:val="005D1FB4"/>
    <w:rsid w:val="005D243A"/>
    <w:rsid w:val="005D24BD"/>
    <w:rsid w:val="005D33B2"/>
    <w:rsid w:val="005D3406"/>
    <w:rsid w:val="005D3C5E"/>
    <w:rsid w:val="005D4793"/>
    <w:rsid w:val="005D4BA6"/>
    <w:rsid w:val="005D4F6A"/>
    <w:rsid w:val="005D66D5"/>
    <w:rsid w:val="005D6A23"/>
    <w:rsid w:val="005D7A16"/>
    <w:rsid w:val="005E007C"/>
    <w:rsid w:val="005E033A"/>
    <w:rsid w:val="005E186D"/>
    <w:rsid w:val="005E1AEA"/>
    <w:rsid w:val="005E208B"/>
    <w:rsid w:val="005E20DB"/>
    <w:rsid w:val="005E25EC"/>
    <w:rsid w:val="005E35E9"/>
    <w:rsid w:val="005E469A"/>
    <w:rsid w:val="005E483A"/>
    <w:rsid w:val="005E4EAB"/>
    <w:rsid w:val="005E6C49"/>
    <w:rsid w:val="005E73AA"/>
    <w:rsid w:val="005E75AF"/>
    <w:rsid w:val="005F0125"/>
    <w:rsid w:val="005F0221"/>
    <w:rsid w:val="005F05BD"/>
    <w:rsid w:val="005F0A23"/>
    <w:rsid w:val="005F16DB"/>
    <w:rsid w:val="005F25E0"/>
    <w:rsid w:val="005F454B"/>
    <w:rsid w:val="005F4680"/>
    <w:rsid w:val="005F4CBC"/>
    <w:rsid w:val="005F4F03"/>
    <w:rsid w:val="005F5036"/>
    <w:rsid w:val="005F538A"/>
    <w:rsid w:val="005F5865"/>
    <w:rsid w:val="005F5B65"/>
    <w:rsid w:val="005F5FBB"/>
    <w:rsid w:val="005F62B5"/>
    <w:rsid w:val="005F71FA"/>
    <w:rsid w:val="00601514"/>
    <w:rsid w:val="006026FC"/>
    <w:rsid w:val="00602D77"/>
    <w:rsid w:val="00603197"/>
    <w:rsid w:val="006034DB"/>
    <w:rsid w:val="00603650"/>
    <w:rsid w:val="006037A5"/>
    <w:rsid w:val="00603D59"/>
    <w:rsid w:val="00603F92"/>
    <w:rsid w:val="00604CD4"/>
    <w:rsid w:val="006054F7"/>
    <w:rsid w:val="00606138"/>
    <w:rsid w:val="0060646B"/>
    <w:rsid w:val="006064E0"/>
    <w:rsid w:val="006066C2"/>
    <w:rsid w:val="00606737"/>
    <w:rsid w:val="006108C7"/>
    <w:rsid w:val="006116A5"/>
    <w:rsid w:val="00611D80"/>
    <w:rsid w:val="0061203E"/>
    <w:rsid w:val="006122C2"/>
    <w:rsid w:val="00612E25"/>
    <w:rsid w:val="00613CA4"/>
    <w:rsid w:val="00614005"/>
    <w:rsid w:val="00614877"/>
    <w:rsid w:val="006149B6"/>
    <w:rsid w:val="00614EB6"/>
    <w:rsid w:val="006158F8"/>
    <w:rsid w:val="00616574"/>
    <w:rsid w:val="00617584"/>
    <w:rsid w:val="00617598"/>
    <w:rsid w:val="006176AD"/>
    <w:rsid w:val="00617A22"/>
    <w:rsid w:val="00617CA4"/>
    <w:rsid w:val="00617CAF"/>
    <w:rsid w:val="006209A9"/>
    <w:rsid w:val="00620DAF"/>
    <w:rsid w:val="00620DFA"/>
    <w:rsid w:val="006215C8"/>
    <w:rsid w:val="00621F8D"/>
    <w:rsid w:val="00621FA1"/>
    <w:rsid w:val="0062226E"/>
    <w:rsid w:val="00622579"/>
    <w:rsid w:val="006234B0"/>
    <w:rsid w:val="006249B0"/>
    <w:rsid w:val="00624A0B"/>
    <w:rsid w:val="00624ABC"/>
    <w:rsid w:val="00625037"/>
    <w:rsid w:val="00625B3C"/>
    <w:rsid w:val="00626831"/>
    <w:rsid w:val="00626CF1"/>
    <w:rsid w:val="00626ECF"/>
    <w:rsid w:val="00627B47"/>
    <w:rsid w:val="00627C2A"/>
    <w:rsid w:val="006300C9"/>
    <w:rsid w:val="006305E2"/>
    <w:rsid w:val="0063109E"/>
    <w:rsid w:val="00631819"/>
    <w:rsid w:val="00631A23"/>
    <w:rsid w:val="00631EB7"/>
    <w:rsid w:val="006321EA"/>
    <w:rsid w:val="0063242D"/>
    <w:rsid w:val="00632788"/>
    <w:rsid w:val="00633490"/>
    <w:rsid w:val="006337C7"/>
    <w:rsid w:val="006352F7"/>
    <w:rsid w:val="00635EAB"/>
    <w:rsid w:val="0063603B"/>
    <w:rsid w:val="00636153"/>
    <w:rsid w:val="00636C10"/>
    <w:rsid w:val="00636EA4"/>
    <w:rsid w:val="00637010"/>
    <w:rsid w:val="0063760A"/>
    <w:rsid w:val="00637B8A"/>
    <w:rsid w:val="00637CEF"/>
    <w:rsid w:val="00641053"/>
    <w:rsid w:val="00641553"/>
    <w:rsid w:val="0064161F"/>
    <w:rsid w:val="0064174F"/>
    <w:rsid w:val="00642A67"/>
    <w:rsid w:val="00642DCA"/>
    <w:rsid w:val="00643AA9"/>
    <w:rsid w:val="00643DD0"/>
    <w:rsid w:val="0064403B"/>
    <w:rsid w:val="006445D1"/>
    <w:rsid w:val="00644632"/>
    <w:rsid w:val="00644DB1"/>
    <w:rsid w:val="00645206"/>
    <w:rsid w:val="00645E10"/>
    <w:rsid w:val="00646D8B"/>
    <w:rsid w:val="00647B7C"/>
    <w:rsid w:val="00647BDE"/>
    <w:rsid w:val="00651176"/>
    <w:rsid w:val="006516E5"/>
    <w:rsid w:val="00652526"/>
    <w:rsid w:val="00652BE5"/>
    <w:rsid w:val="00652D8A"/>
    <w:rsid w:val="00652EBC"/>
    <w:rsid w:val="006530C7"/>
    <w:rsid w:val="00653F36"/>
    <w:rsid w:val="006540F5"/>
    <w:rsid w:val="00654CDD"/>
    <w:rsid w:val="00655356"/>
    <w:rsid w:val="00655E2F"/>
    <w:rsid w:val="00660156"/>
    <w:rsid w:val="006608FB"/>
    <w:rsid w:val="00660A24"/>
    <w:rsid w:val="00660C8D"/>
    <w:rsid w:val="0066146E"/>
    <w:rsid w:val="00661626"/>
    <w:rsid w:val="0066171F"/>
    <w:rsid w:val="00661A6B"/>
    <w:rsid w:val="00661D92"/>
    <w:rsid w:val="00662013"/>
    <w:rsid w:val="00662030"/>
    <w:rsid w:val="006626A9"/>
    <w:rsid w:val="006626C7"/>
    <w:rsid w:val="006629A7"/>
    <w:rsid w:val="00662FB2"/>
    <w:rsid w:val="006631F9"/>
    <w:rsid w:val="006637CA"/>
    <w:rsid w:val="00663828"/>
    <w:rsid w:val="00663B93"/>
    <w:rsid w:val="00664156"/>
    <w:rsid w:val="00664E49"/>
    <w:rsid w:val="00665D05"/>
    <w:rsid w:val="00666AD1"/>
    <w:rsid w:val="00666B5D"/>
    <w:rsid w:val="006671C9"/>
    <w:rsid w:val="00667E78"/>
    <w:rsid w:val="0067070F"/>
    <w:rsid w:val="006709E2"/>
    <w:rsid w:val="00671ABB"/>
    <w:rsid w:val="00672E85"/>
    <w:rsid w:val="006743D2"/>
    <w:rsid w:val="006745AB"/>
    <w:rsid w:val="00674BC8"/>
    <w:rsid w:val="00675752"/>
    <w:rsid w:val="00675C9C"/>
    <w:rsid w:val="00676F5A"/>
    <w:rsid w:val="00677263"/>
    <w:rsid w:val="006775B8"/>
    <w:rsid w:val="0068084D"/>
    <w:rsid w:val="00680EB9"/>
    <w:rsid w:val="00681AFE"/>
    <w:rsid w:val="00681C0F"/>
    <w:rsid w:val="00681EFE"/>
    <w:rsid w:val="006824B9"/>
    <w:rsid w:val="00683A7B"/>
    <w:rsid w:val="00683FAB"/>
    <w:rsid w:val="0068483D"/>
    <w:rsid w:val="006848E9"/>
    <w:rsid w:val="00685241"/>
    <w:rsid w:val="0068563E"/>
    <w:rsid w:val="00686237"/>
    <w:rsid w:val="0068782A"/>
    <w:rsid w:val="006879C4"/>
    <w:rsid w:val="00687CA5"/>
    <w:rsid w:val="00690625"/>
    <w:rsid w:val="00690A84"/>
    <w:rsid w:val="00690E03"/>
    <w:rsid w:val="006913AA"/>
    <w:rsid w:val="006915B3"/>
    <w:rsid w:val="00691C94"/>
    <w:rsid w:val="0069458C"/>
    <w:rsid w:val="00694777"/>
    <w:rsid w:val="00694AEC"/>
    <w:rsid w:val="00695245"/>
    <w:rsid w:val="00695280"/>
    <w:rsid w:val="006956B6"/>
    <w:rsid w:val="00695C02"/>
    <w:rsid w:val="00695C74"/>
    <w:rsid w:val="00696483"/>
    <w:rsid w:val="0069757D"/>
    <w:rsid w:val="00697CD3"/>
    <w:rsid w:val="006A0915"/>
    <w:rsid w:val="006A0CB5"/>
    <w:rsid w:val="006A0E5E"/>
    <w:rsid w:val="006A0EA4"/>
    <w:rsid w:val="006A194C"/>
    <w:rsid w:val="006A2CD4"/>
    <w:rsid w:val="006A3360"/>
    <w:rsid w:val="006A352D"/>
    <w:rsid w:val="006A42C0"/>
    <w:rsid w:val="006A489B"/>
    <w:rsid w:val="006A568D"/>
    <w:rsid w:val="006A600C"/>
    <w:rsid w:val="006A685C"/>
    <w:rsid w:val="006A6B67"/>
    <w:rsid w:val="006A6EBF"/>
    <w:rsid w:val="006A7161"/>
    <w:rsid w:val="006B010E"/>
    <w:rsid w:val="006B066B"/>
    <w:rsid w:val="006B0B82"/>
    <w:rsid w:val="006B0EC9"/>
    <w:rsid w:val="006B26E0"/>
    <w:rsid w:val="006B2942"/>
    <w:rsid w:val="006B2E40"/>
    <w:rsid w:val="006B4467"/>
    <w:rsid w:val="006B5884"/>
    <w:rsid w:val="006B6E61"/>
    <w:rsid w:val="006B6F8B"/>
    <w:rsid w:val="006C0052"/>
    <w:rsid w:val="006C038C"/>
    <w:rsid w:val="006C0AE4"/>
    <w:rsid w:val="006C0B1F"/>
    <w:rsid w:val="006C1E24"/>
    <w:rsid w:val="006C1E7F"/>
    <w:rsid w:val="006C2126"/>
    <w:rsid w:val="006C22EF"/>
    <w:rsid w:val="006C2542"/>
    <w:rsid w:val="006C2A02"/>
    <w:rsid w:val="006C3670"/>
    <w:rsid w:val="006C48F3"/>
    <w:rsid w:val="006C4A4A"/>
    <w:rsid w:val="006C4D0F"/>
    <w:rsid w:val="006C5835"/>
    <w:rsid w:val="006C5B1D"/>
    <w:rsid w:val="006C5E73"/>
    <w:rsid w:val="006C63D8"/>
    <w:rsid w:val="006C69E2"/>
    <w:rsid w:val="006C6FCF"/>
    <w:rsid w:val="006C72CC"/>
    <w:rsid w:val="006C73ED"/>
    <w:rsid w:val="006C7F03"/>
    <w:rsid w:val="006C7F45"/>
    <w:rsid w:val="006D000D"/>
    <w:rsid w:val="006D0E85"/>
    <w:rsid w:val="006D1248"/>
    <w:rsid w:val="006D17AF"/>
    <w:rsid w:val="006D181A"/>
    <w:rsid w:val="006D2361"/>
    <w:rsid w:val="006D26CE"/>
    <w:rsid w:val="006D30BB"/>
    <w:rsid w:val="006D3A9E"/>
    <w:rsid w:val="006D43B2"/>
    <w:rsid w:val="006D4664"/>
    <w:rsid w:val="006D5150"/>
    <w:rsid w:val="006D5E99"/>
    <w:rsid w:val="006D6805"/>
    <w:rsid w:val="006D6A76"/>
    <w:rsid w:val="006D6AF1"/>
    <w:rsid w:val="006D6DA5"/>
    <w:rsid w:val="006D7F6D"/>
    <w:rsid w:val="006E09A1"/>
    <w:rsid w:val="006E0CC9"/>
    <w:rsid w:val="006E1C55"/>
    <w:rsid w:val="006E2385"/>
    <w:rsid w:val="006E27B9"/>
    <w:rsid w:val="006E2813"/>
    <w:rsid w:val="006E3330"/>
    <w:rsid w:val="006E3469"/>
    <w:rsid w:val="006E35BD"/>
    <w:rsid w:val="006E386A"/>
    <w:rsid w:val="006E3CBD"/>
    <w:rsid w:val="006E4DAD"/>
    <w:rsid w:val="006E5195"/>
    <w:rsid w:val="006E5376"/>
    <w:rsid w:val="006E62FB"/>
    <w:rsid w:val="006E71AE"/>
    <w:rsid w:val="006E7E9E"/>
    <w:rsid w:val="006F06D2"/>
    <w:rsid w:val="006F1892"/>
    <w:rsid w:val="006F2347"/>
    <w:rsid w:val="006F3057"/>
    <w:rsid w:val="006F3226"/>
    <w:rsid w:val="006F493F"/>
    <w:rsid w:val="006F4CE0"/>
    <w:rsid w:val="006F4FBB"/>
    <w:rsid w:val="006F531C"/>
    <w:rsid w:val="006F58B1"/>
    <w:rsid w:val="006F5B7B"/>
    <w:rsid w:val="006F60FE"/>
    <w:rsid w:val="006F6BE6"/>
    <w:rsid w:val="006F6EC8"/>
    <w:rsid w:val="0070067C"/>
    <w:rsid w:val="00700DF6"/>
    <w:rsid w:val="00700E31"/>
    <w:rsid w:val="00701229"/>
    <w:rsid w:val="0070140B"/>
    <w:rsid w:val="00701AF6"/>
    <w:rsid w:val="00702466"/>
    <w:rsid w:val="00702780"/>
    <w:rsid w:val="00703671"/>
    <w:rsid w:val="00704F3C"/>
    <w:rsid w:val="00705376"/>
    <w:rsid w:val="00705E20"/>
    <w:rsid w:val="00706D79"/>
    <w:rsid w:val="00706F51"/>
    <w:rsid w:val="007075F1"/>
    <w:rsid w:val="00707770"/>
    <w:rsid w:val="00707EA7"/>
    <w:rsid w:val="0071025E"/>
    <w:rsid w:val="0071143F"/>
    <w:rsid w:val="007114E4"/>
    <w:rsid w:val="0071158F"/>
    <w:rsid w:val="007118EF"/>
    <w:rsid w:val="007124BA"/>
    <w:rsid w:val="00713005"/>
    <w:rsid w:val="00715304"/>
    <w:rsid w:val="007167DB"/>
    <w:rsid w:val="00716A37"/>
    <w:rsid w:val="00717014"/>
    <w:rsid w:val="00717A4B"/>
    <w:rsid w:val="007200B7"/>
    <w:rsid w:val="007205B3"/>
    <w:rsid w:val="00720B47"/>
    <w:rsid w:val="00721886"/>
    <w:rsid w:val="00721A57"/>
    <w:rsid w:val="00721E2D"/>
    <w:rsid w:val="007242C2"/>
    <w:rsid w:val="007307F5"/>
    <w:rsid w:val="00730863"/>
    <w:rsid w:val="00730CBA"/>
    <w:rsid w:val="007314DF"/>
    <w:rsid w:val="007316E3"/>
    <w:rsid w:val="00731D95"/>
    <w:rsid w:val="0073266C"/>
    <w:rsid w:val="007337D9"/>
    <w:rsid w:val="00733E88"/>
    <w:rsid w:val="00735128"/>
    <w:rsid w:val="0073596C"/>
    <w:rsid w:val="00735FBF"/>
    <w:rsid w:val="0073618A"/>
    <w:rsid w:val="0074053C"/>
    <w:rsid w:val="00740A73"/>
    <w:rsid w:val="00740A95"/>
    <w:rsid w:val="007418F2"/>
    <w:rsid w:val="0074248F"/>
    <w:rsid w:val="007424DC"/>
    <w:rsid w:val="0074290F"/>
    <w:rsid w:val="00743A65"/>
    <w:rsid w:val="00744271"/>
    <w:rsid w:val="00744A5C"/>
    <w:rsid w:val="007461A2"/>
    <w:rsid w:val="00750CFD"/>
    <w:rsid w:val="00750D2A"/>
    <w:rsid w:val="00750EAD"/>
    <w:rsid w:val="00750EE7"/>
    <w:rsid w:val="00752462"/>
    <w:rsid w:val="007531A1"/>
    <w:rsid w:val="007538C8"/>
    <w:rsid w:val="0075598C"/>
    <w:rsid w:val="00755C90"/>
    <w:rsid w:val="007561CD"/>
    <w:rsid w:val="00756B85"/>
    <w:rsid w:val="007575F9"/>
    <w:rsid w:val="00757A71"/>
    <w:rsid w:val="007606C6"/>
    <w:rsid w:val="0076161A"/>
    <w:rsid w:val="00761A64"/>
    <w:rsid w:val="007626D1"/>
    <w:rsid w:val="007627A9"/>
    <w:rsid w:val="00762BB0"/>
    <w:rsid w:val="00762BBD"/>
    <w:rsid w:val="0076343A"/>
    <w:rsid w:val="0076398D"/>
    <w:rsid w:val="007648EA"/>
    <w:rsid w:val="00765C00"/>
    <w:rsid w:val="00766A6B"/>
    <w:rsid w:val="00766C3A"/>
    <w:rsid w:val="00767B4C"/>
    <w:rsid w:val="00767D62"/>
    <w:rsid w:val="0077057E"/>
    <w:rsid w:val="007705AA"/>
    <w:rsid w:val="007718E3"/>
    <w:rsid w:val="00773DD6"/>
    <w:rsid w:val="00773E84"/>
    <w:rsid w:val="007741AA"/>
    <w:rsid w:val="00774286"/>
    <w:rsid w:val="00774949"/>
    <w:rsid w:val="00774D04"/>
    <w:rsid w:val="00775213"/>
    <w:rsid w:val="0077640F"/>
    <w:rsid w:val="00776697"/>
    <w:rsid w:val="007767C3"/>
    <w:rsid w:val="00777616"/>
    <w:rsid w:val="007777AB"/>
    <w:rsid w:val="00777DE9"/>
    <w:rsid w:val="00781C31"/>
    <w:rsid w:val="00782DA4"/>
    <w:rsid w:val="007832D9"/>
    <w:rsid w:val="00784330"/>
    <w:rsid w:val="0078440E"/>
    <w:rsid w:val="007844AF"/>
    <w:rsid w:val="0078456A"/>
    <w:rsid w:val="0078499D"/>
    <w:rsid w:val="007878B6"/>
    <w:rsid w:val="00787A08"/>
    <w:rsid w:val="007905CB"/>
    <w:rsid w:val="00790AEE"/>
    <w:rsid w:val="00791803"/>
    <w:rsid w:val="00791A9F"/>
    <w:rsid w:val="007929E7"/>
    <w:rsid w:val="007933E5"/>
    <w:rsid w:val="007935BE"/>
    <w:rsid w:val="00794219"/>
    <w:rsid w:val="007942AB"/>
    <w:rsid w:val="00794AC1"/>
    <w:rsid w:val="007959A9"/>
    <w:rsid w:val="0079629A"/>
    <w:rsid w:val="00796CE7"/>
    <w:rsid w:val="0079791D"/>
    <w:rsid w:val="00797ACF"/>
    <w:rsid w:val="007A0456"/>
    <w:rsid w:val="007A0F8E"/>
    <w:rsid w:val="007A182A"/>
    <w:rsid w:val="007A1CB5"/>
    <w:rsid w:val="007A21C1"/>
    <w:rsid w:val="007A2452"/>
    <w:rsid w:val="007A30E8"/>
    <w:rsid w:val="007A3A47"/>
    <w:rsid w:val="007A4C80"/>
    <w:rsid w:val="007A4D5A"/>
    <w:rsid w:val="007A51E2"/>
    <w:rsid w:val="007A5633"/>
    <w:rsid w:val="007A5DDD"/>
    <w:rsid w:val="007A5EA9"/>
    <w:rsid w:val="007A5EC0"/>
    <w:rsid w:val="007A62E1"/>
    <w:rsid w:val="007A630F"/>
    <w:rsid w:val="007B12DB"/>
    <w:rsid w:val="007B13EA"/>
    <w:rsid w:val="007B2569"/>
    <w:rsid w:val="007B44DA"/>
    <w:rsid w:val="007B4DCC"/>
    <w:rsid w:val="007B4E36"/>
    <w:rsid w:val="007B4E3E"/>
    <w:rsid w:val="007B52CB"/>
    <w:rsid w:val="007B52D2"/>
    <w:rsid w:val="007B59B6"/>
    <w:rsid w:val="007B5FB1"/>
    <w:rsid w:val="007B630D"/>
    <w:rsid w:val="007B6C03"/>
    <w:rsid w:val="007B7430"/>
    <w:rsid w:val="007B785F"/>
    <w:rsid w:val="007B7A34"/>
    <w:rsid w:val="007C05C0"/>
    <w:rsid w:val="007C0881"/>
    <w:rsid w:val="007C13B8"/>
    <w:rsid w:val="007C2A77"/>
    <w:rsid w:val="007C3039"/>
    <w:rsid w:val="007C3589"/>
    <w:rsid w:val="007C3D3A"/>
    <w:rsid w:val="007C4028"/>
    <w:rsid w:val="007C468F"/>
    <w:rsid w:val="007C7397"/>
    <w:rsid w:val="007C75CA"/>
    <w:rsid w:val="007D0A89"/>
    <w:rsid w:val="007D1EAB"/>
    <w:rsid w:val="007D2BD2"/>
    <w:rsid w:val="007D361E"/>
    <w:rsid w:val="007D387F"/>
    <w:rsid w:val="007D4938"/>
    <w:rsid w:val="007D5150"/>
    <w:rsid w:val="007D51D3"/>
    <w:rsid w:val="007D524F"/>
    <w:rsid w:val="007D539F"/>
    <w:rsid w:val="007D5417"/>
    <w:rsid w:val="007D5D2D"/>
    <w:rsid w:val="007D5E73"/>
    <w:rsid w:val="007D5F01"/>
    <w:rsid w:val="007D6390"/>
    <w:rsid w:val="007D6A9F"/>
    <w:rsid w:val="007D71FE"/>
    <w:rsid w:val="007E0017"/>
    <w:rsid w:val="007E014B"/>
    <w:rsid w:val="007E0483"/>
    <w:rsid w:val="007E216C"/>
    <w:rsid w:val="007E267D"/>
    <w:rsid w:val="007E3CE7"/>
    <w:rsid w:val="007E3FFD"/>
    <w:rsid w:val="007E41D5"/>
    <w:rsid w:val="007E4367"/>
    <w:rsid w:val="007E473A"/>
    <w:rsid w:val="007E51D0"/>
    <w:rsid w:val="007E55BC"/>
    <w:rsid w:val="007E68D4"/>
    <w:rsid w:val="007E6D65"/>
    <w:rsid w:val="007E7324"/>
    <w:rsid w:val="007E7BD7"/>
    <w:rsid w:val="007F1375"/>
    <w:rsid w:val="007F13FA"/>
    <w:rsid w:val="007F1610"/>
    <w:rsid w:val="007F1EBA"/>
    <w:rsid w:val="007F2058"/>
    <w:rsid w:val="007F2A47"/>
    <w:rsid w:val="007F2E4E"/>
    <w:rsid w:val="007F37BD"/>
    <w:rsid w:val="007F3EB9"/>
    <w:rsid w:val="007F5A57"/>
    <w:rsid w:val="007F5BB0"/>
    <w:rsid w:val="007F60C3"/>
    <w:rsid w:val="007F6AF6"/>
    <w:rsid w:val="007F707A"/>
    <w:rsid w:val="007F7195"/>
    <w:rsid w:val="007F73A8"/>
    <w:rsid w:val="007F7DF0"/>
    <w:rsid w:val="008006CE"/>
    <w:rsid w:val="008017F6"/>
    <w:rsid w:val="00801834"/>
    <w:rsid w:val="00801C3E"/>
    <w:rsid w:val="00802710"/>
    <w:rsid w:val="00803245"/>
    <w:rsid w:val="008034DA"/>
    <w:rsid w:val="00803613"/>
    <w:rsid w:val="00804A53"/>
    <w:rsid w:val="00804B60"/>
    <w:rsid w:val="00805C0F"/>
    <w:rsid w:val="00806C10"/>
    <w:rsid w:val="00806E03"/>
    <w:rsid w:val="00811913"/>
    <w:rsid w:val="00811CE5"/>
    <w:rsid w:val="00811DB6"/>
    <w:rsid w:val="008133DC"/>
    <w:rsid w:val="008133F7"/>
    <w:rsid w:val="00813F0E"/>
    <w:rsid w:val="00813FA6"/>
    <w:rsid w:val="00814A75"/>
    <w:rsid w:val="008150AB"/>
    <w:rsid w:val="00815ED4"/>
    <w:rsid w:val="008203B2"/>
    <w:rsid w:val="00820457"/>
    <w:rsid w:val="00820845"/>
    <w:rsid w:val="00820B3B"/>
    <w:rsid w:val="00820E7C"/>
    <w:rsid w:val="00821985"/>
    <w:rsid w:val="00821B34"/>
    <w:rsid w:val="00821BA4"/>
    <w:rsid w:val="00821FD4"/>
    <w:rsid w:val="00822772"/>
    <w:rsid w:val="00823584"/>
    <w:rsid w:val="00825088"/>
    <w:rsid w:val="00825766"/>
    <w:rsid w:val="00825E31"/>
    <w:rsid w:val="00825E97"/>
    <w:rsid w:val="008266E2"/>
    <w:rsid w:val="00826AE3"/>
    <w:rsid w:val="00826F35"/>
    <w:rsid w:val="008270DA"/>
    <w:rsid w:val="008277A8"/>
    <w:rsid w:val="00827F2F"/>
    <w:rsid w:val="00827FE1"/>
    <w:rsid w:val="00830238"/>
    <w:rsid w:val="0083188D"/>
    <w:rsid w:val="008319AF"/>
    <w:rsid w:val="00831B4F"/>
    <w:rsid w:val="0083255D"/>
    <w:rsid w:val="00833125"/>
    <w:rsid w:val="00833363"/>
    <w:rsid w:val="00833680"/>
    <w:rsid w:val="008338A6"/>
    <w:rsid w:val="00834980"/>
    <w:rsid w:val="00834AE9"/>
    <w:rsid w:val="00834DBE"/>
    <w:rsid w:val="008351E8"/>
    <w:rsid w:val="008358CC"/>
    <w:rsid w:val="008366B0"/>
    <w:rsid w:val="008369E2"/>
    <w:rsid w:val="00836DD0"/>
    <w:rsid w:val="00836EDB"/>
    <w:rsid w:val="00836F90"/>
    <w:rsid w:val="00837076"/>
    <w:rsid w:val="0083782C"/>
    <w:rsid w:val="00837AF1"/>
    <w:rsid w:val="00837BE7"/>
    <w:rsid w:val="00837D80"/>
    <w:rsid w:val="0084104F"/>
    <w:rsid w:val="00841A58"/>
    <w:rsid w:val="008423DA"/>
    <w:rsid w:val="0084245F"/>
    <w:rsid w:val="00842594"/>
    <w:rsid w:val="00843069"/>
    <w:rsid w:val="00843236"/>
    <w:rsid w:val="00844537"/>
    <w:rsid w:val="00844D97"/>
    <w:rsid w:val="00845727"/>
    <w:rsid w:val="0084708C"/>
    <w:rsid w:val="00847398"/>
    <w:rsid w:val="00852452"/>
    <w:rsid w:val="00852537"/>
    <w:rsid w:val="00852CF1"/>
    <w:rsid w:val="0085359B"/>
    <w:rsid w:val="008546A8"/>
    <w:rsid w:val="008549BA"/>
    <w:rsid w:val="00854C51"/>
    <w:rsid w:val="00855196"/>
    <w:rsid w:val="0085588F"/>
    <w:rsid w:val="00855ABD"/>
    <w:rsid w:val="00856261"/>
    <w:rsid w:val="0085630F"/>
    <w:rsid w:val="0085743A"/>
    <w:rsid w:val="008606C9"/>
    <w:rsid w:val="00860FE5"/>
    <w:rsid w:val="00861789"/>
    <w:rsid w:val="00861BF1"/>
    <w:rsid w:val="008627C5"/>
    <w:rsid w:val="00862B5A"/>
    <w:rsid w:val="00863C9C"/>
    <w:rsid w:val="00863EA5"/>
    <w:rsid w:val="0086418F"/>
    <w:rsid w:val="00864273"/>
    <w:rsid w:val="0086471F"/>
    <w:rsid w:val="008649F9"/>
    <w:rsid w:val="0086520F"/>
    <w:rsid w:val="0086545A"/>
    <w:rsid w:val="00865AFE"/>
    <w:rsid w:val="00865B39"/>
    <w:rsid w:val="008669FE"/>
    <w:rsid w:val="008671EC"/>
    <w:rsid w:val="008704CB"/>
    <w:rsid w:val="008705DF"/>
    <w:rsid w:val="008708DA"/>
    <w:rsid w:val="00871467"/>
    <w:rsid w:val="008716A1"/>
    <w:rsid w:val="00872421"/>
    <w:rsid w:val="008724A8"/>
    <w:rsid w:val="008724E9"/>
    <w:rsid w:val="008730A7"/>
    <w:rsid w:val="008732FA"/>
    <w:rsid w:val="00873D97"/>
    <w:rsid w:val="00873EA2"/>
    <w:rsid w:val="00874CD2"/>
    <w:rsid w:val="00876D40"/>
    <w:rsid w:val="008777E5"/>
    <w:rsid w:val="00881061"/>
    <w:rsid w:val="00881F48"/>
    <w:rsid w:val="0088225B"/>
    <w:rsid w:val="008830C1"/>
    <w:rsid w:val="008842A6"/>
    <w:rsid w:val="00884327"/>
    <w:rsid w:val="00884FBF"/>
    <w:rsid w:val="0088552C"/>
    <w:rsid w:val="00885551"/>
    <w:rsid w:val="0088601E"/>
    <w:rsid w:val="00886AED"/>
    <w:rsid w:val="008872EE"/>
    <w:rsid w:val="008873EB"/>
    <w:rsid w:val="008909BC"/>
    <w:rsid w:val="0089110D"/>
    <w:rsid w:val="008919F3"/>
    <w:rsid w:val="00892FB4"/>
    <w:rsid w:val="00893AF0"/>
    <w:rsid w:val="00893F73"/>
    <w:rsid w:val="00894785"/>
    <w:rsid w:val="0089479D"/>
    <w:rsid w:val="00894B45"/>
    <w:rsid w:val="00894D7D"/>
    <w:rsid w:val="008950F9"/>
    <w:rsid w:val="00895234"/>
    <w:rsid w:val="00895822"/>
    <w:rsid w:val="00896C57"/>
    <w:rsid w:val="0089755F"/>
    <w:rsid w:val="00897BA5"/>
    <w:rsid w:val="008A0487"/>
    <w:rsid w:val="008A0927"/>
    <w:rsid w:val="008A15B9"/>
    <w:rsid w:val="008A1A25"/>
    <w:rsid w:val="008A1C06"/>
    <w:rsid w:val="008A2C1A"/>
    <w:rsid w:val="008A2F2C"/>
    <w:rsid w:val="008A3025"/>
    <w:rsid w:val="008A331F"/>
    <w:rsid w:val="008A3962"/>
    <w:rsid w:val="008A427D"/>
    <w:rsid w:val="008A44D9"/>
    <w:rsid w:val="008A4524"/>
    <w:rsid w:val="008A4855"/>
    <w:rsid w:val="008A5E05"/>
    <w:rsid w:val="008A7589"/>
    <w:rsid w:val="008A7B08"/>
    <w:rsid w:val="008B004F"/>
    <w:rsid w:val="008B0CC5"/>
    <w:rsid w:val="008B0FF4"/>
    <w:rsid w:val="008B114C"/>
    <w:rsid w:val="008B2BBC"/>
    <w:rsid w:val="008B39C6"/>
    <w:rsid w:val="008B4EE7"/>
    <w:rsid w:val="008B603E"/>
    <w:rsid w:val="008B64EB"/>
    <w:rsid w:val="008B65CF"/>
    <w:rsid w:val="008B6932"/>
    <w:rsid w:val="008B78D9"/>
    <w:rsid w:val="008C18CC"/>
    <w:rsid w:val="008C274D"/>
    <w:rsid w:val="008C2ECE"/>
    <w:rsid w:val="008C372E"/>
    <w:rsid w:val="008C3979"/>
    <w:rsid w:val="008C5274"/>
    <w:rsid w:val="008C52B1"/>
    <w:rsid w:val="008C5585"/>
    <w:rsid w:val="008C6163"/>
    <w:rsid w:val="008C61B7"/>
    <w:rsid w:val="008C6A1E"/>
    <w:rsid w:val="008C6C0D"/>
    <w:rsid w:val="008C6F5D"/>
    <w:rsid w:val="008C79BA"/>
    <w:rsid w:val="008D015F"/>
    <w:rsid w:val="008D04E6"/>
    <w:rsid w:val="008D0C5C"/>
    <w:rsid w:val="008D12B5"/>
    <w:rsid w:val="008D13A6"/>
    <w:rsid w:val="008D1DD3"/>
    <w:rsid w:val="008D2D4D"/>
    <w:rsid w:val="008D2F5E"/>
    <w:rsid w:val="008D30C8"/>
    <w:rsid w:val="008D5C1C"/>
    <w:rsid w:val="008D5C8A"/>
    <w:rsid w:val="008D6469"/>
    <w:rsid w:val="008D7607"/>
    <w:rsid w:val="008D7A58"/>
    <w:rsid w:val="008D7C40"/>
    <w:rsid w:val="008D7DC9"/>
    <w:rsid w:val="008D7DE7"/>
    <w:rsid w:val="008E1A59"/>
    <w:rsid w:val="008E3845"/>
    <w:rsid w:val="008E43F5"/>
    <w:rsid w:val="008E4A86"/>
    <w:rsid w:val="008E4D3B"/>
    <w:rsid w:val="008E70EF"/>
    <w:rsid w:val="008F049C"/>
    <w:rsid w:val="008F0DE5"/>
    <w:rsid w:val="008F1DA1"/>
    <w:rsid w:val="008F2272"/>
    <w:rsid w:val="008F23B9"/>
    <w:rsid w:val="008F2DB6"/>
    <w:rsid w:val="008F2ECD"/>
    <w:rsid w:val="008F397A"/>
    <w:rsid w:val="008F40A4"/>
    <w:rsid w:val="008F49AF"/>
    <w:rsid w:val="008F5030"/>
    <w:rsid w:val="008F67C2"/>
    <w:rsid w:val="008F67F2"/>
    <w:rsid w:val="008F77B8"/>
    <w:rsid w:val="00900D77"/>
    <w:rsid w:val="00901AA6"/>
    <w:rsid w:val="0090275F"/>
    <w:rsid w:val="009027F9"/>
    <w:rsid w:val="009031A8"/>
    <w:rsid w:val="009038A0"/>
    <w:rsid w:val="00904371"/>
    <w:rsid w:val="00904BD5"/>
    <w:rsid w:val="00904D79"/>
    <w:rsid w:val="00905393"/>
    <w:rsid w:val="009060A2"/>
    <w:rsid w:val="00906436"/>
    <w:rsid w:val="00906E79"/>
    <w:rsid w:val="0090759A"/>
    <w:rsid w:val="00907B93"/>
    <w:rsid w:val="00907E76"/>
    <w:rsid w:val="00910BD1"/>
    <w:rsid w:val="00911000"/>
    <w:rsid w:val="0091178F"/>
    <w:rsid w:val="0091183F"/>
    <w:rsid w:val="00912F6F"/>
    <w:rsid w:val="0091320F"/>
    <w:rsid w:val="00913B95"/>
    <w:rsid w:val="00913EB8"/>
    <w:rsid w:val="0091419B"/>
    <w:rsid w:val="0091463C"/>
    <w:rsid w:val="00914654"/>
    <w:rsid w:val="00914740"/>
    <w:rsid w:val="00916594"/>
    <w:rsid w:val="00916DF7"/>
    <w:rsid w:val="009179F5"/>
    <w:rsid w:val="00920026"/>
    <w:rsid w:val="00920448"/>
    <w:rsid w:val="00920EFC"/>
    <w:rsid w:val="009219B9"/>
    <w:rsid w:val="00921B6B"/>
    <w:rsid w:val="00921CFB"/>
    <w:rsid w:val="00922E8B"/>
    <w:rsid w:val="00923CB0"/>
    <w:rsid w:val="00923DC2"/>
    <w:rsid w:val="0092409D"/>
    <w:rsid w:val="00925BD8"/>
    <w:rsid w:val="00925E8C"/>
    <w:rsid w:val="0092635F"/>
    <w:rsid w:val="009265A2"/>
    <w:rsid w:val="00926798"/>
    <w:rsid w:val="00927BA8"/>
    <w:rsid w:val="00927D3F"/>
    <w:rsid w:val="0093206B"/>
    <w:rsid w:val="00932A3B"/>
    <w:rsid w:val="00932A9F"/>
    <w:rsid w:val="00932C37"/>
    <w:rsid w:val="00932E59"/>
    <w:rsid w:val="009339FE"/>
    <w:rsid w:val="0093545B"/>
    <w:rsid w:val="009354DC"/>
    <w:rsid w:val="00935A2F"/>
    <w:rsid w:val="00936EDA"/>
    <w:rsid w:val="009370E4"/>
    <w:rsid w:val="009378F2"/>
    <w:rsid w:val="00937D55"/>
    <w:rsid w:val="0094215C"/>
    <w:rsid w:val="00942413"/>
    <w:rsid w:val="00942CBA"/>
    <w:rsid w:val="00942FAF"/>
    <w:rsid w:val="00943B18"/>
    <w:rsid w:val="009440AD"/>
    <w:rsid w:val="00944C6E"/>
    <w:rsid w:val="00945B48"/>
    <w:rsid w:val="00946C8E"/>
    <w:rsid w:val="00947AA5"/>
    <w:rsid w:val="00950BDC"/>
    <w:rsid w:val="0095208B"/>
    <w:rsid w:val="0095214F"/>
    <w:rsid w:val="00952A67"/>
    <w:rsid w:val="00953413"/>
    <w:rsid w:val="009537D3"/>
    <w:rsid w:val="0095387F"/>
    <w:rsid w:val="00953AA2"/>
    <w:rsid w:val="00953B2E"/>
    <w:rsid w:val="00954121"/>
    <w:rsid w:val="009541F3"/>
    <w:rsid w:val="009549EC"/>
    <w:rsid w:val="00955A25"/>
    <w:rsid w:val="00956486"/>
    <w:rsid w:val="00957460"/>
    <w:rsid w:val="00957F62"/>
    <w:rsid w:val="00960276"/>
    <w:rsid w:val="00960A1B"/>
    <w:rsid w:val="009614A1"/>
    <w:rsid w:val="00961593"/>
    <w:rsid w:val="00961BAD"/>
    <w:rsid w:val="00961C54"/>
    <w:rsid w:val="009623C0"/>
    <w:rsid w:val="009632C4"/>
    <w:rsid w:val="0096407A"/>
    <w:rsid w:val="009644B8"/>
    <w:rsid w:val="0096479B"/>
    <w:rsid w:val="00964DA7"/>
    <w:rsid w:val="009658C5"/>
    <w:rsid w:val="00965D24"/>
    <w:rsid w:val="00965DD0"/>
    <w:rsid w:val="00966003"/>
    <w:rsid w:val="0096665E"/>
    <w:rsid w:val="00966B99"/>
    <w:rsid w:val="00966EB6"/>
    <w:rsid w:val="009674F7"/>
    <w:rsid w:val="00967517"/>
    <w:rsid w:val="00967581"/>
    <w:rsid w:val="0097074E"/>
    <w:rsid w:val="009714AB"/>
    <w:rsid w:val="0097228F"/>
    <w:rsid w:val="009725D3"/>
    <w:rsid w:val="00972985"/>
    <w:rsid w:val="009740F0"/>
    <w:rsid w:val="0097446F"/>
    <w:rsid w:val="0097548E"/>
    <w:rsid w:val="00975962"/>
    <w:rsid w:val="00976AFC"/>
    <w:rsid w:val="00977074"/>
    <w:rsid w:val="009777C0"/>
    <w:rsid w:val="0097798B"/>
    <w:rsid w:val="00977B39"/>
    <w:rsid w:val="00980A82"/>
    <w:rsid w:val="00981325"/>
    <w:rsid w:val="0098167E"/>
    <w:rsid w:val="009839DB"/>
    <w:rsid w:val="00984148"/>
    <w:rsid w:val="00984BE2"/>
    <w:rsid w:val="00984E9B"/>
    <w:rsid w:val="00984F70"/>
    <w:rsid w:val="00985774"/>
    <w:rsid w:val="0098588A"/>
    <w:rsid w:val="00985C1E"/>
    <w:rsid w:val="00985F7C"/>
    <w:rsid w:val="00986979"/>
    <w:rsid w:val="009869C1"/>
    <w:rsid w:val="00987119"/>
    <w:rsid w:val="0098747C"/>
    <w:rsid w:val="0098785C"/>
    <w:rsid w:val="00987A52"/>
    <w:rsid w:val="00987DB9"/>
    <w:rsid w:val="00991518"/>
    <w:rsid w:val="00991666"/>
    <w:rsid w:val="009918F4"/>
    <w:rsid w:val="00993135"/>
    <w:rsid w:val="0099341C"/>
    <w:rsid w:val="0099376C"/>
    <w:rsid w:val="00994260"/>
    <w:rsid w:val="00994334"/>
    <w:rsid w:val="00995BE1"/>
    <w:rsid w:val="00996A0F"/>
    <w:rsid w:val="00996A1D"/>
    <w:rsid w:val="00997300"/>
    <w:rsid w:val="00997323"/>
    <w:rsid w:val="00997D2C"/>
    <w:rsid w:val="009A08FE"/>
    <w:rsid w:val="009A0B4C"/>
    <w:rsid w:val="009A0CB1"/>
    <w:rsid w:val="009A0E73"/>
    <w:rsid w:val="009A12F1"/>
    <w:rsid w:val="009A179F"/>
    <w:rsid w:val="009A1E82"/>
    <w:rsid w:val="009A22DC"/>
    <w:rsid w:val="009A2841"/>
    <w:rsid w:val="009A28F5"/>
    <w:rsid w:val="009A4C03"/>
    <w:rsid w:val="009A4EA1"/>
    <w:rsid w:val="009A51D6"/>
    <w:rsid w:val="009A6093"/>
    <w:rsid w:val="009A6913"/>
    <w:rsid w:val="009A6B5D"/>
    <w:rsid w:val="009A791A"/>
    <w:rsid w:val="009A7F81"/>
    <w:rsid w:val="009B051A"/>
    <w:rsid w:val="009B0EDC"/>
    <w:rsid w:val="009B196D"/>
    <w:rsid w:val="009B1A57"/>
    <w:rsid w:val="009B2193"/>
    <w:rsid w:val="009B32D4"/>
    <w:rsid w:val="009B36A0"/>
    <w:rsid w:val="009B39A6"/>
    <w:rsid w:val="009B39D2"/>
    <w:rsid w:val="009B3AA7"/>
    <w:rsid w:val="009B3BD1"/>
    <w:rsid w:val="009B4239"/>
    <w:rsid w:val="009B55E1"/>
    <w:rsid w:val="009B6C8A"/>
    <w:rsid w:val="009C0826"/>
    <w:rsid w:val="009C1096"/>
    <w:rsid w:val="009C206C"/>
    <w:rsid w:val="009C212D"/>
    <w:rsid w:val="009C2924"/>
    <w:rsid w:val="009C3263"/>
    <w:rsid w:val="009C3E69"/>
    <w:rsid w:val="009C437B"/>
    <w:rsid w:val="009C4547"/>
    <w:rsid w:val="009C45B3"/>
    <w:rsid w:val="009C4850"/>
    <w:rsid w:val="009C489E"/>
    <w:rsid w:val="009C4FBC"/>
    <w:rsid w:val="009C50B0"/>
    <w:rsid w:val="009C5454"/>
    <w:rsid w:val="009C57DA"/>
    <w:rsid w:val="009C6352"/>
    <w:rsid w:val="009C7827"/>
    <w:rsid w:val="009C7A48"/>
    <w:rsid w:val="009C7BA7"/>
    <w:rsid w:val="009C7EEC"/>
    <w:rsid w:val="009D07A6"/>
    <w:rsid w:val="009D100A"/>
    <w:rsid w:val="009D11E0"/>
    <w:rsid w:val="009D18F6"/>
    <w:rsid w:val="009D1BCD"/>
    <w:rsid w:val="009D22D1"/>
    <w:rsid w:val="009D27AC"/>
    <w:rsid w:val="009D2CE9"/>
    <w:rsid w:val="009D2E25"/>
    <w:rsid w:val="009D4BFE"/>
    <w:rsid w:val="009D4F0A"/>
    <w:rsid w:val="009D55A5"/>
    <w:rsid w:val="009D67DB"/>
    <w:rsid w:val="009D738F"/>
    <w:rsid w:val="009D7CC7"/>
    <w:rsid w:val="009D7D0F"/>
    <w:rsid w:val="009D7DC3"/>
    <w:rsid w:val="009D7E39"/>
    <w:rsid w:val="009E085E"/>
    <w:rsid w:val="009E146C"/>
    <w:rsid w:val="009E20B2"/>
    <w:rsid w:val="009E2A1D"/>
    <w:rsid w:val="009E3077"/>
    <w:rsid w:val="009E365C"/>
    <w:rsid w:val="009E6AC1"/>
    <w:rsid w:val="009E76E0"/>
    <w:rsid w:val="009E7927"/>
    <w:rsid w:val="009E7E8A"/>
    <w:rsid w:val="009F0405"/>
    <w:rsid w:val="009F130A"/>
    <w:rsid w:val="009F22A1"/>
    <w:rsid w:val="009F4D0D"/>
    <w:rsid w:val="009F68ED"/>
    <w:rsid w:val="009F6986"/>
    <w:rsid w:val="009F70A5"/>
    <w:rsid w:val="009F761C"/>
    <w:rsid w:val="009F7B19"/>
    <w:rsid w:val="009F7DF1"/>
    <w:rsid w:val="009F7E93"/>
    <w:rsid w:val="00A00DDE"/>
    <w:rsid w:val="00A00E3B"/>
    <w:rsid w:val="00A011B9"/>
    <w:rsid w:val="00A012A9"/>
    <w:rsid w:val="00A01457"/>
    <w:rsid w:val="00A01994"/>
    <w:rsid w:val="00A01E0D"/>
    <w:rsid w:val="00A02028"/>
    <w:rsid w:val="00A037D7"/>
    <w:rsid w:val="00A049CF"/>
    <w:rsid w:val="00A0572E"/>
    <w:rsid w:val="00A06786"/>
    <w:rsid w:val="00A07828"/>
    <w:rsid w:val="00A07A12"/>
    <w:rsid w:val="00A10F23"/>
    <w:rsid w:val="00A117AD"/>
    <w:rsid w:val="00A117BD"/>
    <w:rsid w:val="00A11884"/>
    <w:rsid w:val="00A11BD0"/>
    <w:rsid w:val="00A11F75"/>
    <w:rsid w:val="00A12BD8"/>
    <w:rsid w:val="00A12E0D"/>
    <w:rsid w:val="00A13D44"/>
    <w:rsid w:val="00A149AF"/>
    <w:rsid w:val="00A16B06"/>
    <w:rsid w:val="00A17A20"/>
    <w:rsid w:val="00A17AE7"/>
    <w:rsid w:val="00A17BB8"/>
    <w:rsid w:val="00A17DF6"/>
    <w:rsid w:val="00A20B5D"/>
    <w:rsid w:val="00A22BE3"/>
    <w:rsid w:val="00A232DD"/>
    <w:rsid w:val="00A234FB"/>
    <w:rsid w:val="00A243A4"/>
    <w:rsid w:val="00A24B48"/>
    <w:rsid w:val="00A25094"/>
    <w:rsid w:val="00A25718"/>
    <w:rsid w:val="00A27198"/>
    <w:rsid w:val="00A2725C"/>
    <w:rsid w:val="00A272D0"/>
    <w:rsid w:val="00A27890"/>
    <w:rsid w:val="00A300FD"/>
    <w:rsid w:val="00A301E2"/>
    <w:rsid w:val="00A30514"/>
    <w:rsid w:val="00A3056B"/>
    <w:rsid w:val="00A3398E"/>
    <w:rsid w:val="00A340A2"/>
    <w:rsid w:val="00A343AA"/>
    <w:rsid w:val="00A344D9"/>
    <w:rsid w:val="00A345FC"/>
    <w:rsid w:val="00A357EA"/>
    <w:rsid w:val="00A35DBB"/>
    <w:rsid w:val="00A362F9"/>
    <w:rsid w:val="00A37030"/>
    <w:rsid w:val="00A37AF0"/>
    <w:rsid w:val="00A40426"/>
    <w:rsid w:val="00A40B51"/>
    <w:rsid w:val="00A40BEB"/>
    <w:rsid w:val="00A40CEB"/>
    <w:rsid w:val="00A415F0"/>
    <w:rsid w:val="00A42074"/>
    <w:rsid w:val="00A4281E"/>
    <w:rsid w:val="00A42FF2"/>
    <w:rsid w:val="00A43DF9"/>
    <w:rsid w:val="00A449A4"/>
    <w:rsid w:val="00A46306"/>
    <w:rsid w:val="00A46510"/>
    <w:rsid w:val="00A467E7"/>
    <w:rsid w:val="00A46B75"/>
    <w:rsid w:val="00A475AE"/>
    <w:rsid w:val="00A4765B"/>
    <w:rsid w:val="00A5040C"/>
    <w:rsid w:val="00A50B33"/>
    <w:rsid w:val="00A50F8F"/>
    <w:rsid w:val="00A51DF5"/>
    <w:rsid w:val="00A53045"/>
    <w:rsid w:val="00A53705"/>
    <w:rsid w:val="00A53EDD"/>
    <w:rsid w:val="00A53EFC"/>
    <w:rsid w:val="00A54646"/>
    <w:rsid w:val="00A55912"/>
    <w:rsid w:val="00A60077"/>
    <w:rsid w:val="00A60432"/>
    <w:rsid w:val="00A60489"/>
    <w:rsid w:val="00A60772"/>
    <w:rsid w:val="00A6154C"/>
    <w:rsid w:val="00A617B4"/>
    <w:rsid w:val="00A621BD"/>
    <w:rsid w:val="00A628B7"/>
    <w:rsid w:val="00A62E69"/>
    <w:rsid w:val="00A63A2C"/>
    <w:rsid w:val="00A63F27"/>
    <w:rsid w:val="00A643DF"/>
    <w:rsid w:val="00A645A6"/>
    <w:rsid w:val="00A6532A"/>
    <w:rsid w:val="00A65DDC"/>
    <w:rsid w:val="00A664BE"/>
    <w:rsid w:val="00A664CC"/>
    <w:rsid w:val="00A6758D"/>
    <w:rsid w:val="00A67627"/>
    <w:rsid w:val="00A67674"/>
    <w:rsid w:val="00A67932"/>
    <w:rsid w:val="00A67FC5"/>
    <w:rsid w:val="00A701FD"/>
    <w:rsid w:val="00A707B0"/>
    <w:rsid w:val="00A71B22"/>
    <w:rsid w:val="00A71E60"/>
    <w:rsid w:val="00A723E4"/>
    <w:rsid w:val="00A72EB5"/>
    <w:rsid w:val="00A73678"/>
    <w:rsid w:val="00A73CE7"/>
    <w:rsid w:val="00A73D79"/>
    <w:rsid w:val="00A74ACC"/>
    <w:rsid w:val="00A74B3A"/>
    <w:rsid w:val="00A75B84"/>
    <w:rsid w:val="00A7621C"/>
    <w:rsid w:val="00A76B79"/>
    <w:rsid w:val="00A76EEA"/>
    <w:rsid w:val="00A77032"/>
    <w:rsid w:val="00A77167"/>
    <w:rsid w:val="00A7741E"/>
    <w:rsid w:val="00A77DC8"/>
    <w:rsid w:val="00A801B2"/>
    <w:rsid w:val="00A80A8F"/>
    <w:rsid w:val="00A8117D"/>
    <w:rsid w:val="00A81E7F"/>
    <w:rsid w:val="00A83C0B"/>
    <w:rsid w:val="00A83C44"/>
    <w:rsid w:val="00A85BDA"/>
    <w:rsid w:val="00A86C2D"/>
    <w:rsid w:val="00A86C3F"/>
    <w:rsid w:val="00A86D73"/>
    <w:rsid w:val="00A87F11"/>
    <w:rsid w:val="00A9033E"/>
    <w:rsid w:val="00A90C1D"/>
    <w:rsid w:val="00A912ED"/>
    <w:rsid w:val="00A919F7"/>
    <w:rsid w:val="00A91CCD"/>
    <w:rsid w:val="00A938FC"/>
    <w:rsid w:val="00A941DD"/>
    <w:rsid w:val="00A941F6"/>
    <w:rsid w:val="00A9424D"/>
    <w:rsid w:val="00A9446D"/>
    <w:rsid w:val="00A94640"/>
    <w:rsid w:val="00A94706"/>
    <w:rsid w:val="00A94FE5"/>
    <w:rsid w:val="00A951B4"/>
    <w:rsid w:val="00A957BD"/>
    <w:rsid w:val="00A95CEA"/>
    <w:rsid w:val="00A95D9E"/>
    <w:rsid w:val="00A9604D"/>
    <w:rsid w:val="00A96B9E"/>
    <w:rsid w:val="00A97501"/>
    <w:rsid w:val="00A97678"/>
    <w:rsid w:val="00AA0500"/>
    <w:rsid w:val="00AA1CD0"/>
    <w:rsid w:val="00AA26CA"/>
    <w:rsid w:val="00AA2ADB"/>
    <w:rsid w:val="00AA39C1"/>
    <w:rsid w:val="00AA3B72"/>
    <w:rsid w:val="00AA446D"/>
    <w:rsid w:val="00AA63FD"/>
    <w:rsid w:val="00AA6443"/>
    <w:rsid w:val="00AA6E13"/>
    <w:rsid w:val="00AA75CB"/>
    <w:rsid w:val="00AA7AE6"/>
    <w:rsid w:val="00AA7B10"/>
    <w:rsid w:val="00AB043E"/>
    <w:rsid w:val="00AB0806"/>
    <w:rsid w:val="00AB0C14"/>
    <w:rsid w:val="00AB0DB7"/>
    <w:rsid w:val="00AB0E05"/>
    <w:rsid w:val="00AB0F02"/>
    <w:rsid w:val="00AB14A1"/>
    <w:rsid w:val="00AB1807"/>
    <w:rsid w:val="00AB1A56"/>
    <w:rsid w:val="00AB2602"/>
    <w:rsid w:val="00AB3C5E"/>
    <w:rsid w:val="00AB3D4E"/>
    <w:rsid w:val="00AB420C"/>
    <w:rsid w:val="00AB43F8"/>
    <w:rsid w:val="00AB458D"/>
    <w:rsid w:val="00AB475F"/>
    <w:rsid w:val="00AB4C7F"/>
    <w:rsid w:val="00AB5DC1"/>
    <w:rsid w:val="00AB5DE3"/>
    <w:rsid w:val="00AB647C"/>
    <w:rsid w:val="00AB6553"/>
    <w:rsid w:val="00AB6D3A"/>
    <w:rsid w:val="00AB6EAF"/>
    <w:rsid w:val="00AB7333"/>
    <w:rsid w:val="00AC047C"/>
    <w:rsid w:val="00AC07B1"/>
    <w:rsid w:val="00AC0ACD"/>
    <w:rsid w:val="00AC0FF1"/>
    <w:rsid w:val="00AC19DA"/>
    <w:rsid w:val="00AC2000"/>
    <w:rsid w:val="00AC2941"/>
    <w:rsid w:val="00AC2EEA"/>
    <w:rsid w:val="00AC2EF1"/>
    <w:rsid w:val="00AC3DDB"/>
    <w:rsid w:val="00AC4247"/>
    <w:rsid w:val="00AC460B"/>
    <w:rsid w:val="00AC58AC"/>
    <w:rsid w:val="00AC59D1"/>
    <w:rsid w:val="00AC6BE9"/>
    <w:rsid w:val="00AC6D04"/>
    <w:rsid w:val="00AC6E2E"/>
    <w:rsid w:val="00AC7D09"/>
    <w:rsid w:val="00AC7D75"/>
    <w:rsid w:val="00AD0079"/>
    <w:rsid w:val="00AD1B6C"/>
    <w:rsid w:val="00AD324A"/>
    <w:rsid w:val="00AD351B"/>
    <w:rsid w:val="00AD3F6A"/>
    <w:rsid w:val="00AD4F51"/>
    <w:rsid w:val="00AD52A5"/>
    <w:rsid w:val="00AD5EDF"/>
    <w:rsid w:val="00AD7451"/>
    <w:rsid w:val="00AD76C6"/>
    <w:rsid w:val="00AE0160"/>
    <w:rsid w:val="00AE0972"/>
    <w:rsid w:val="00AE0C3D"/>
    <w:rsid w:val="00AE0DDA"/>
    <w:rsid w:val="00AE0F57"/>
    <w:rsid w:val="00AE1356"/>
    <w:rsid w:val="00AE1A80"/>
    <w:rsid w:val="00AE1B46"/>
    <w:rsid w:val="00AE225C"/>
    <w:rsid w:val="00AE25E1"/>
    <w:rsid w:val="00AE36A4"/>
    <w:rsid w:val="00AE3722"/>
    <w:rsid w:val="00AE3991"/>
    <w:rsid w:val="00AE3DE0"/>
    <w:rsid w:val="00AE4481"/>
    <w:rsid w:val="00AE4486"/>
    <w:rsid w:val="00AE4A20"/>
    <w:rsid w:val="00AE4BF3"/>
    <w:rsid w:val="00AE4E11"/>
    <w:rsid w:val="00AE501F"/>
    <w:rsid w:val="00AE5C8E"/>
    <w:rsid w:val="00AE5F83"/>
    <w:rsid w:val="00AE604D"/>
    <w:rsid w:val="00AE6F16"/>
    <w:rsid w:val="00AE70F5"/>
    <w:rsid w:val="00AE71BC"/>
    <w:rsid w:val="00AE7EC3"/>
    <w:rsid w:val="00AF0E40"/>
    <w:rsid w:val="00AF1591"/>
    <w:rsid w:val="00AF19C2"/>
    <w:rsid w:val="00AF266C"/>
    <w:rsid w:val="00AF2D4F"/>
    <w:rsid w:val="00AF33FE"/>
    <w:rsid w:val="00AF3DBE"/>
    <w:rsid w:val="00AF4309"/>
    <w:rsid w:val="00AF54EA"/>
    <w:rsid w:val="00AF5506"/>
    <w:rsid w:val="00AF5867"/>
    <w:rsid w:val="00AF6036"/>
    <w:rsid w:val="00AF6BBF"/>
    <w:rsid w:val="00AF7B07"/>
    <w:rsid w:val="00AF7B1E"/>
    <w:rsid w:val="00B00A4A"/>
    <w:rsid w:val="00B01BAD"/>
    <w:rsid w:val="00B024C5"/>
    <w:rsid w:val="00B024FB"/>
    <w:rsid w:val="00B038F1"/>
    <w:rsid w:val="00B03B8D"/>
    <w:rsid w:val="00B04620"/>
    <w:rsid w:val="00B04907"/>
    <w:rsid w:val="00B0518C"/>
    <w:rsid w:val="00B057A5"/>
    <w:rsid w:val="00B06094"/>
    <w:rsid w:val="00B06288"/>
    <w:rsid w:val="00B06A9F"/>
    <w:rsid w:val="00B0779D"/>
    <w:rsid w:val="00B10251"/>
    <w:rsid w:val="00B10D9F"/>
    <w:rsid w:val="00B10E5D"/>
    <w:rsid w:val="00B11064"/>
    <w:rsid w:val="00B12533"/>
    <w:rsid w:val="00B13327"/>
    <w:rsid w:val="00B13B8A"/>
    <w:rsid w:val="00B13BB4"/>
    <w:rsid w:val="00B13DB8"/>
    <w:rsid w:val="00B14BF5"/>
    <w:rsid w:val="00B1503B"/>
    <w:rsid w:val="00B15FB8"/>
    <w:rsid w:val="00B17A79"/>
    <w:rsid w:val="00B202AE"/>
    <w:rsid w:val="00B21FBE"/>
    <w:rsid w:val="00B22899"/>
    <w:rsid w:val="00B22B05"/>
    <w:rsid w:val="00B22B91"/>
    <w:rsid w:val="00B22FF1"/>
    <w:rsid w:val="00B23150"/>
    <w:rsid w:val="00B23ABE"/>
    <w:rsid w:val="00B26E4A"/>
    <w:rsid w:val="00B278EE"/>
    <w:rsid w:val="00B308DB"/>
    <w:rsid w:val="00B319FC"/>
    <w:rsid w:val="00B3363C"/>
    <w:rsid w:val="00B3388C"/>
    <w:rsid w:val="00B33C8C"/>
    <w:rsid w:val="00B34409"/>
    <w:rsid w:val="00B345B8"/>
    <w:rsid w:val="00B3491E"/>
    <w:rsid w:val="00B34EAF"/>
    <w:rsid w:val="00B35638"/>
    <w:rsid w:val="00B35C31"/>
    <w:rsid w:val="00B35DF8"/>
    <w:rsid w:val="00B35E6C"/>
    <w:rsid w:val="00B3709B"/>
    <w:rsid w:val="00B3752E"/>
    <w:rsid w:val="00B4022B"/>
    <w:rsid w:val="00B406E1"/>
    <w:rsid w:val="00B408E1"/>
    <w:rsid w:val="00B40F43"/>
    <w:rsid w:val="00B41FC9"/>
    <w:rsid w:val="00B42E1A"/>
    <w:rsid w:val="00B43E2F"/>
    <w:rsid w:val="00B44258"/>
    <w:rsid w:val="00B444E9"/>
    <w:rsid w:val="00B44C5C"/>
    <w:rsid w:val="00B45076"/>
    <w:rsid w:val="00B45E69"/>
    <w:rsid w:val="00B47411"/>
    <w:rsid w:val="00B50013"/>
    <w:rsid w:val="00B5021B"/>
    <w:rsid w:val="00B50AAB"/>
    <w:rsid w:val="00B50ADE"/>
    <w:rsid w:val="00B50B86"/>
    <w:rsid w:val="00B5115D"/>
    <w:rsid w:val="00B51FB3"/>
    <w:rsid w:val="00B5290B"/>
    <w:rsid w:val="00B53606"/>
    <w:rsid w:val="00B5362C"/>
    <w:rsid w:val="00B53B7D"/>
    <w:rsid w:val="00B53E4D"/>
    <w:rsid w:val="00B540FC"/>
    <w:rsid w:val="00B54B6B"/>
    <w:rsid w:val="00B55099"/>
    <w:rsid w:val="00B55405"/>
    <w:rsid w:val="00B55438"/>
    <w:rsid w:val="00B55AB4"/>
    <w:rsid w:val="00B55ADC"/>
    <w:rsid w:val="00B5767B"/>
    <w:rsid w:val="00B57C0F"/>
    <w:rsid w:val="00B57E5C"/>
    <w:rsid w:val="00B60F52"/>
    <w:rsid w:val="00B610A3"/>
    <w:rsid w:val="00B61A2F"/>
    <w:rsid w:val="00B61C2C"/>
    <w:rsid w:val="00B625AB"/>
    <w:rsid w:val="00B63AC2"/>
    <w:rsid w:val="00B657C7"/>
    <w:rsid w:val="00B67484"/>
    <w:rsid w:val="00B6765A"/>
    <w:rsid w:val="00B704A2"/>
    <w:rsid w:val="00B70F44"/>
    <w:rsid w:val="00B70FD2"/>
    <w:rsid w:val="00B72AF7"/>
    <w:rsid w:val="00B72FDA"/>
    <w:rsid w:val="00B731FB"/>
    <w:rsid w:val="00B74216"/>
    <w:rsid w:val="00B74E1E"/>
    <w:rsid w:val="00B7527F"/>
    <w:rsid w:val="00B75BB1"/>
    <w:rsid w:val="00B7638F"/>
    <w:rsid w:val="00B774E7"/>
    <w:rsid w:val="00B77AE1"/>
    <w:rsid w:val="00B813C6"/>
    <w:rsid w:val="00B81A95"/>
    <w:rsid w:val="00B81DDA"/>
    <w:rsid w:val="00B82373"/>
    <w:rsid w:val="00B8256E"/>
    <w:rsid w:val="00B836C4"/>
    <w:rsid w:val="00B83C5E"/>
    <w:rsid w:val="00B8403A"/>
    <w:rsid w:val="00B840B7"/>
    <w:rsid w:val="00B844A2"/>
    <w:rsid w:val="00B84858"/>
    <w:rsid w:val="00B850FA"/>
    <w:rsid w:val="00B8518B"/>
    <w:rsid w:val="00B8527D"/>
    <w:rsid w:val="00B853A1"/>
    <w:rsid w:val="00B85B3F"/>
    <w:rsid w:val="00B86E02"/>
    <w:rsid w:val="00B87762"/>
    <w:rsid w:val="00B87E17"/>
    <w:rsid w:val="00B90961"/>
    <w:rsid w:val="00B915E2"/>
    <w:rsid w:val="00B91A64"/>
    <w:rsid w:val="00B92746"/>
    <w:rsid w:val="00B93970"/>
    <w:rsid w:val="00B946DF"/>
    <w:rsid w:val="00B94F1F"/>
    <w:rsid w:val="00B9660C"/>
    <w:rsid w:val="00B96E97"/>
    <w:rsid w:val="00B97E2F"/>
    <w:rsid w:val="00BA06C7"/>
    <w:rsid w:val="00BA0854"/>
    <w:rsid w:val="00BA0976"/>
    <w:rsid w:val="00BA0FC2"/>
    <w:rsid w:val="00BA1165"/>
    <w:rsid w:val="00BA1912"/>
    <w:rsid w:val="00BA2469"/>
    <w:rsid w:val="00BA2D42"/>
    <w:rsid w:val="00BA2DFA"/>
    <w:rsid w:val="00BA3C0F"/>
    <w:rsid w:val="00BA4FEB"/>
    <w:rsid w:val="00BA66B9"/>
    <w:rsid w:val="00BA68D1"/>
    <w:rsid w:val="00BA784F"/>
    <w:rsid w:val="00BA7EA8"/>
    <w:rsid w:val="00BB003F"/>
    <w:rsid w:val="00BB0294"/>
    <w:rsid w:val="00BB0A48"/>
    <w:rsid w:val="00BB1847"/>
    <w:rsid w:val="00BB29DE"/>
    <w:rsid w:val="00BB2A1D"/>
    <w:rsid w:val="00BB3D22"/>
    <w:rsid w:val="00BB470F"/>
    <w:rsid w:val="00BB4865"/>
    <w:rsid w:val="00BB5BF2"/>
    <w:rsid w:val="00BB6315"/>
    <w:rsid w:val="00BB6A6B"/>
    <w:rsid w:val="00BB6CB4"/>
    <w:rsid w:val="00BB6E4B"/>
    <w:rsid w:val="00BB7709"/>
    <w:rsid w:val="00BB798A"/>
    <w:rsid w:val="00BC073E"/>
    <w:rsid w:val="00BC133B"/>
    <w:rsid w:val="00BC17BB"/>
    <w:rsid w:val="00BC22D9"/>
    <w:rsid w:val="00BC234B"/>
    <w:rsid w:val="00BC2AA8"/>
    <w:rsid w:val="00BC2E4E"/>
    <w:rsid w:val="00BC402E"/>
    <w:rsid w:val="00BC4621"/>
    <w:rsid w:val="00BC4CE5"/>
    <w:rsid w:val="00BC598B"/>
    <w:rsid w:val="00BC650F"/>
    <w:rsid w:val="00BC671B"/>
    <w:rsid w:val="00BC6BF1"/>
    <w:rsid w:val="00BD01E2"/>
    <w:rsid w:val="00BD02FD"/>
    <w:rsid w:val="00BD11E0"/>
    <w:rsid w:val="00BD1E52"/>
    <w:rsid w:val="00BD2367"/>
    <w:rsid w:val="00BD2426"/>
    <w:rsid w:val="00BD2F71"/>
    <w:rsid w:val="00BD30FE"/>
    <w:rsid w:val="00BD3B53"/>
    <w:rsid w:val="00BD416A"/>
    <w:rsid w:val="00BD41BB"/>
    <w:rsid w:val="00BD51E9"/>
    <w:rsid w:val="00BD60F8"/>
    <w:rsid w:val="00BD6FDD"/>
    <w:rsid w:val="00BD751F"/>
    <w:rsid w:val="00BD7BD1"/>
    <w:rsid w:val="00BE00A8"/>
    <w:rsid w:val="00BE00CC"/>
    <w:rsid w:val="00BE0C59"/>
    <w:rsid w:val="00BE1B0F"/>
    <w:rsid w:val="00BE22C8"/>
    <w:rsid w:val="00BE2A35"/>
    <w:rsid w:val="00BE4303"/>
    <w:rsid w:val="00BE4883"/>
    <w:rsid w:val="00BE50C1"/>
    <w:rsid w:val="00BE5253"/>
    <w:rsid w:val="00BE58A8"/>
    <w:rsid w:val="00BE5AA8"/>
    <w:rsid w:val="00BE5ABD"/>
    <w:rsid w:val="00BE6694"/>
    <w:rsid w:val="00BE6701"/>
    <w:rsid w:val="00BE7799"/>
    <w:rsid w:val="00BE77F2"/>
    <w:rsid w:val="00BE79B9"/>
    <w:rsid w:val="00BF0C26"/>
    <w:rsid w:val="00BF0D12"/>
    <w:rsid w:val="00BF139D"/>
    <w:rsid w:val="00BF1B85"/>
    <w:rsid w:val="00BF40B0"/>
    <w:rsid w:val="00BF52DD"/>
    <w:rsid w:val="00BF5623"/>
    <w:rsid w:val="00BF580F"/>
    <w:rsid w:val="00BF5AC4"/>
    <w:rsid w:val="00BF61C1"/>
    <w:rsid w:val="00BF6627"/>
    <w:rsid w:val="00BF7C20"/>
    <w:rsid w:val="00C00391"/>
    <w:rsid w:val="00C02E4C"/>
    <w:rsid w:val="00C03841"/>
    <w:rsid w:val="00C03EBA"/>
    <w:rsid w:val="00C03F35"/>
    <w:rsid w:val="00C04200"/>
    <w:rsid w:val="00C04B12"/>
    <w:rsid w:val="00C04D43"/>
    <w:rsid w:val="00C054BB"/>
    <w:rsid w:val="00C06D18"/>
    <w:rsid w:val="00C06FEF"/>
    <w:rsid w:val="00C07077"/>
    <w:rsid w:val="00C079BF"/>
    <w:rsid w:val="00C100A7"/>
    <w:rsid w:val="00C104B6"/>
    <w:rsid w:val="00C1060B"/>
    <w:rsid w:val="00C107B7"/>
    <w:rsid w:val="00C11483"/>
    <w:rsid w:val="00C1150F"/>
    <w:rsid w:val="00C11539"/>
    <w:rsid w:val="00C115CE"/>
    <w:rsid w:val="00C1298B"/>
    <w:rsid w:val="00C13910"/>
    <w:rsid w:val="00C13BB4"/>
    <w:rsid w:val="00C13E5D"/>
    <w:rsid w:val="00C140E7"/>
    <w:rsid w:val="00C1416C"/>
    <w:rsid w:val="00C14671"/>
    <w:rsid w:val="00C15B88"/>
    <w:rsid w:val="00C170A1"/>
    <w:rsid w:val="00C17251"/>
    <w:rsid w:val="00C17A0A"/>
    <w:rsid w:val="00C21007"/>
    <w:rsid w:val="00C214AA"/>
    <w:rsid w:val="00C21777"/>
    <w:rsid w:val="00C217B1"/>
    <w:rsid w:val="00C21801"/>
    <w:rsid w:val="00C21884"/>
    <w:rsid w:val="00C22860"/>
    <w:rsid w:val="00C22963"/>
    <w:rsid w:val="00C22ED8"/>
    <w:rsid w:val="00C22F5D"/>
    <w:rsid w:val="00C2315D"/>
    <w:rsid w:val="00C245EB"/>
    <w:rsid w:val="00C2492B"/>
    <w:rsid w:val="00C24D9A"/>
    <w:rsid w:val="00C25377"/>
    <w:rsid w:val="00C25AEC"/>
    <w:rsid w:val="00C26098"/>
    <w:rsid w:val="00C26C95"/>
    <w:rsid w:val="00C2745C"/>
    <w:rsid w:val="00C27653"/>
    <w:rsid w:val="00C277C1"/>
    <w:rsid w:val="00C30DF0"/>
    <w:rsid w:val="00C323F9"/>
    <w:rsid w:val="00C32B28"/>
    <w:rsid w:val="00C3340B"/>
    <w:rsid w:val="00C33ACF"/>
    <w:rsid w:val="00C34233"/>
    <w:rsid w:val="00C34C7D"/>
    <w:rsid w:val="00C351DC"/>
    <w:rsid w:val="00C3589A"/>
    <w:rsid w:val="00C362C9"/>
    <w:rsid w:val="00C366BD"/>
    <w:rsid w:val="00C37DE5"/>
    <w:rsid w:val="00C37E8C"/>
    <w:rsid w:val="00C408B5"/>
    <w:rsid w:val="00C414A9"/>
    <w:rsid w:val="00C4225A"/>
    <w:rsid w:val="00C42277"/>
    <w:rsid w:val="00C43221"/>
    <w:rsid w:val="00C43A85"/>
    <w:rsid w:val="00C43ABE"/>
    <w:rsid w:val="00C44967"/>
    <w:rsid w:val="00C450FF"/>
    <w:rsid w:val="00C453B4"/>
    <w:rsid w:val="00C45F06"/>
    <w:rsid w:val="00C46D63"/>
    <w:rsid w:val="00C46F12"/>
    <w:rsid w:val="00C47960"/>
    <w:rsid w:val="00C50382"/>
    <w:rsid w:val="00C50F93"/>
    <w:rsid w:val="00C516A2"/>
    <w:rsid w:val="00C5172A"/>
    <w:rsid w:val="00C5196D"/>
    <w:rsid w:val="00C51A51"/>
    <w:rsid w:val="00C52AD1"/>
    <w:rsid w:val="00C53AE3"/>
    <w:rsid w:val="00C54DC4"/>
    <w:rsid w:val="00C5527D"/>
    <w:rsid w:val="00C553F9"/>
    <w:rsid w:val="00C55500"/>
    <w:rsid w:val="00C55FF2"/>
    <w:rsid w:val="00C56B34"/>
    <w:rsid w:val="00C57014"/>
    <w:rsid w:val="00C57923"/>
    <w:rsid w:val="00C57F6E"/>
    <w:rsid w:val="00C60982"/>
    <w:rsid w:val="00C61054"/>
    <w:rsid w:val="00C6118E"/>
    <w:rsid w:val="00C62807"/>
    <w:rsid w:val="00C62841"/>
    <w:rsid w:val="00C64DF6"/>
    <w:rsid w:val="00C65615"/>
    <w:rsid w:val="00C65D52"/>
    <w:rsid w:val="00C662EC"/>
    <w:rsid w:val="00C66529"/>
    <w:rsid w:val="00C66FDA"/>
    <w:rsid w:val="00C67189"/>
    <w:rsid w:val="00C6776E"/>
    <w:rsid w:val="00C67DD7"/>
    <w:rsid w:val="00C70800"/>
    <w:rsid w:val="00C70E4C"/>
    <w:rsid w:val="00C71019"/>
    <w:rsid w:val="00C715E6"/>
    <w:rsid w:val="00C73996"/>
    <w:rsid w:val="00C73C8F"/>
    <w:rsid w:val="00C7467D"/>
    <w:rsid w:val="00C751E3"/>
    <w:rsid w:val="00C75A70"/>
    <w:rsid w:val="00C75CC1"/>
    <w:rsid w:val="00C769CE"/>
    <w:rsid w:val="00C76F2F"/>
    <w:rsid w:val="00C770DF"/>
    <w:rsid w:val="00C77590"/>
    <w:rsid w:val="00C77F36"/>
    <w:rsid w:val="00C77FA2"/>
    <w:rsid w:val="00C815D7"/>
    <w:rsid w:val="00C82A01"/>
    <w:rsid w:val="00C83C4A"/>
    <w:rsid w:val="00C85A18"/>
    <w:rsid w:val="00C85BE9"/>
    <w:rsid w:val="00C85D0D"/>
    <w:rsid w:val="00C864DF"/>
    <w:rsid w:val="00C864ED"/>
    <w:rsid w:val="00C86711"/>
    <w:rsid w:val="00C86A5B"/>
    <w:rsid w:val="00C86C9C"/>
    <w:rsid w:val="00C86D4A"/>
    <w:rsid w:val="00C87D23"/>
    <w:rsid w:val="00C901CE"/>
    <w:rsid w:val="00C90290"/>
    <w:rsid w:val="00C90907"/>
    <w:rsid w:val="00C91192"/>
    <w:rsid w:val="00C92316"/>
    <w:rsid w:val="00C92B0F"/>
    <w:rsid w:val="00C92B46"/>
    <w:rsid w:val="00C93443"/>
    <w:rsid w:val="00C94062"/>
    <w:rsid w:val="00C9592B"/>
    <w:rsid w:val="00C95F33"/>
    <w:rsid w:val="00C96965"/>
    <w:rsid w:val="00C96A54"/>
    <w:rsid w:val="00C96C7B"/>
    <w:rsid w:val="00C96CDD"/>
    <w:rsid w:val="00C970BD"/>
    <w:rsid w:val="00C97923"/>
    <w:rsid w:val="00C979F9"/>
    <w:rsid w:val="00C97E52"/>
    <w:rsid w:val="00CA0084"/>
    <w:rsid w:val="00CA0540"/>
    <w:rsid w:val="00CA0E26"/>
    <w:rsid w:val="00CA102E"/>
    <w:rsid w:val="00CA1F12"/>
    <w:rsid w:val="00CA2CD4"/>
    <w:rsid w:val="00CA41F7"/>
    <w:rsid w:val="00CA423D"/>
    <w:rsid w:val="00CA4FFE"/>
    <w:rsid w:val="00CA51C0"/>
    <w:rsid w:val="00CA55F8"/>
    <w:rsid w:val="00CA68FE"/>
    <w:rsid w:val="00CA6A46"/>
    <w:rsid w:val="00CB0449"/>
    <w:rsid w:val="00CB0B50"/>
    <w:rsid w:val="00CB0EB6"/>
    <w:rsid w:val="00CB1222"/>
    <w:rsid w:val="00CB1613"/>
    <w:rsid w:val="00CB1DEE"/>
    <w:rsid w:val="00CB4339"/>
    <w:rsid w:val="00CB4B4F"/>
    <w:rsid w:val="00CB4BA2"/>
    <w:rsid w:val="00CB5039"/>
    <w:rsid w:val="00CB5191"/>
    <w:rsid w:val="00CB55BA"/>
    <w:rsid w:val="00CB609E"/>
    <w:rsid w:val="00CB6461"/>
    <w:rsid w:val="00CB7CC9"/>
    <w:rsid w:val="00CB7DAB"/>
    <w:rsid w:val="00CC0F0C"/>
    <w:rsid w:val="00CC1AE3"/>
    <w:rsid w:val="00CC1FEF"/>
    <w:rsid w:val="00CC33A8"/>
    <w:rsid w:val="00CC3FE9"/>
    <w:rsid w:val="00CC4038"/>
    <w:rsid w:val="00CC43FB"/>
    <w:rsid w:val="00CC710F"/>
    <w:rsid w:val="00CC71DC"/>
    <w:rsid w:val="00CC77D0"/>
    <w:rsid w:val="00CC7855"/>
    <w:rsid w:val="00CC78BB"/>
    <w:rsid w:val="00CC7EFE"/>
    <w:rsid w:val="00CD00BC"/>
    <w:rsid w:val="00CD12AB"/>
    <w:rsid w:val="00CD1B1C"/>
    <w:rsid w:val="00CD2001"/>
    <w:rsid w:val="00CD2273"/>
    <w:rsid w:val="00CD3B71"/>
    <w:rsid w:val="00CD4844"/>
    <w:rsid w:val="00CD4C77"/>
    <w:rsid w:val="00CD5395"/>
    <w:rsid w:val="00CD5639"/>
    <w:rsid w:val="00CD57F6"/>
    <w:rsid w:val="00CD6127"/>
    <w:rsid w:val="00CD617F"/>
    <w:rsid w:val="00CD635A"/>
    <w:rsid w:val="00CD69B7"/>
    <w:rsid w:val="00CD7647"/>
    <w:rsid w:val="00CD7947"/>
    <w:rsid w:val="00CD7EC5"/>
    <w:rsid w:val="00CD7F78"/>
    <w:rsid w:val="00CE148C"/>
    <w:rsid w:val="00CE15F8"/>
    <w:rsid w:val="00CE1BB4"/>
    <w:rsid w:val="00CE2001"/>
    <w:rsid w:val="00CE2F96"/>
    <w:rsid w:val="00CE30F4"/>
    <w:rsid w:val="00CE383A"/>
    <w:rsid w:val="00CE3D83"/>
    <w:rsid w:val="00CE3D86"/>
    <w:rsid w:val="00CE4219"/>
    <w:rsid w:val="00CE449C"/>
    <w:rsid w:val="00CE7430"/>
    <w:rsid w:val="00CE7A3F"/>
    <w:rsid w:val="00CE7B10"/>
    <w:rsid w:val="00CF1077"/>
    <w:rsid w:val="00CF1D0C"/>
    <w:rsid w:val="00CF1F53"/>
    <w:rsid w:val="00CF23E0"/>
    <w:rsid w:val="00CF2F63"/>
    <w:rsid w:val="00CF397B"/>
    <w:rsid w:val="00CF428D"/>
    <w:rsid w:val="00CF5E99"/>
    <w:rsid w:val="00CF67E5"/>
    <w:rsid w:val="00CF687D"/>
    <w:rsid w:val="00CF68FA"/>
    <w:rsid w:val="00CF6BC6"/>
    <w:rsid w:val="00CF7EC4"/>
    <w:rsid w:val="00D00141"/>
    <w:rsid w:val="00D00AAA"/>
    <w:rsid w:val="00D00AFE"/>
    <w:rsid w:val="00D018FA"/>
    <w:rsid w:val="00D02C73"/>
    <w:rsid w:val="00D02EF2"/>
    <w:rsid w:val="00D044FF"/>
    <w:rsid w:val="00D047C2"/>
    <w:rsid w:val="00D05F41"/>
    <w:rsid w:val="00D06446"/>
    <w:rsid w:val="00D06D61"/>
    <w:rsid w:val="00D06E19"/>
    <w:rsid w:val="00D07732"/>
    <w:rsid w:val="00D07B0F"/>
    <w:rsid w:val="00D109BF"/>
    <w:rsid w:val="00D112D1"/>
    <w:rsid w:val="00D114C0"/>
    <w:rsid w:val="00D13EAF"/>
    <w:rsid w:val="00D20609"/>
    <w:rsid w:val="00D20F34"/>
    <w:rsid w:val="00D20FB8"/>
    <w:rsid w:val="00D21AD0"/>
    <w:rsid w:val="00D2244A"/>
    <w:rsid w:val="00D22C1F"/>
    <w:rsid w:val="00D2325C"/>
    <w:rsid w:val="00D23BA9"/>
    <w:rsid w:val="00D255E7"/>
    <w:rsid w:val="00D27504"/>
    <w:rsid w:val="00D2764D"/>
    <w:rsid w:val="00D27BC2"/>
    <w:rsid w:val="00D305B8"/>
    <w:rsid w:val="00D3157E"/>
    <w:rsid w:val="00D319B1"/>
    <w:rsid w:val="00D31B24"/>
    <w:rsid w:val="00D31E38"/>
    <w:rsid w:val="00D3207E"/>
    <w:rsid w:val="00D320AE"/>
    <w:rsid w:val="00D32717"/>
    <w:rsid w:val="00D338F8"/>
    <w:rsid w:val="00D33E07"/>
    <w:rsid w:val="00D34BEB"/>
    <w:rsid w:val="00D3603E"/>
    <w:rsid w:val="00D36282"/>
    <w:rsid w:val="00D363C7"/>
    <w:rsid w:val="00D37FCE"/>
    <w:rsid w:val="00D403F8"/>
    <w:rsid w:val="00D40F25"/>
    <w:rsid w:val="00D41A97"/>
    <w:rsid w:val="00D41D18"/>
    <w:rsid w:val="00D42118"/>
    <w:rsid w:val="00D4255D"/>
    <w:rsid w:val="00D437A1"/>
    <w:rsid w:val="00D43ADC"/>
    <w:rsid w:val="00D43B95"/>
    <w:rsid w:val="00D447D1"/>
    <w:rsid w:val="00D4491E"/>
    <w:rsid w:val="00D44D47"/>
    <w:rsid w:val="00D44F8A"/>
    <w:rsid w:val="00D456D3"/>
    <w:rsid w:val="00D45ECD"/>
    <w:rsid w:val="00D45F11"/>
    <w:rsid w:val="00D461D7"/>
    <w:rsid w:val="00D46926"/>
    <w:rsid w:val="00D4763D"/>
    <w:rsid w:val="00D47A7C"/>
    <w:rsid w:val="00D508FA"/>
    <w:rsid w:val="00D50B23"/>
    <w:rsid w:val="00D51189"/>
    <w:rsid w:val="00D52F58"/>
    <w:rsid w:val="00D5379E"/>
    <w:rsid w:val="00D53FA0"/>
    <w:rsid w:val="00D5418F"/>
    <w:rsid w:val="00D54507"/>
    <w:rsid w:val="00D54589"/>
    <w:rsid w:val="00D54982"/>
    <w:rsid w:val="00D55A7D"/>
    <w:rsid w:val="00D566AB"/>
    <w:rsid w:val="00D568EB"/>
    <w:rsid w:val="00D56A5C"/>
    <w:rsid w:val="00D5783E"/>
    <w:rsid w:val="00D57A31"/>
    <w:rsid w:val="00D60092"/>
    <w:rsid w:val="00D6065C"/>
    <w:rsid w:val="00D60A1B"/>
    <w:rsid w:val="00D6103E"/>
    <w:rsid w:val="00D616D3"/>
    <w:rsid w:val="00D6314F"/>
    <w:rsid w:val="00D631DA"/>
    <w:rsid w:val="00D6429C"/>
    <w:rsid w:val="00D66E8C"/>
    <w:rsid w:val="00D6705E"/>
    <w:rsid w:val="00D67590"/>
    <w:rsid w:val="00D67A90"/>
    <w:rsid w:val="00D67D43"/>
    <w:rsid w:val="00D70E79"/>
    <w:rsid w:val="00D70E88"/>
    <w:rsid w:val="00D712FD"/>
    <w:rsid w:val="00D71349"/>
    <w:rsid w:val="00D715F8"/>
    <w:rsid w:val="00D72169"/>
    <w:rsid w:val="00D723B2"/>
    <w:rsid w:val="00D723D2"/>
    <w:rsid w:val="00D7289A"/>
    <w:rsid w:val="00D73994"/>
    <w:rsid w:val="00D74D6A"/>
    <w:rsid w:val="00D75721"/>
    <w:rsid w:val="00D763A4"/>
    <w:rsid w:val="00D766B9"/>
    <w:rsid w:val="00D76748"/>
    <w:rsid w:val="00D77519"/>
    <w:rsid w:val="00D8037F"/>
    <w:rsid w:val="00D80E65"/>
    <w:rsid w:val="00D81492"/>
    <w:rsid w:val="00D817E9"/>
    <w:rsid w:val="00D82AFC"/>
    <w:rsid w:val="00D82EE9"/>
    <w:rsid w:val="00D83011"/>
    <w:rsid w:val="00D832DA"/>
    <w:rsid w:val="00D8333A"/>
    <w:rsid w:val="00D839FA"/>
    <w:rsid w:val="00D84D09"/>
    <w:rsid w:val="00D85508"/>
    <w:rsid w:val="00D85FAE"/>
    <w:rsid w:val="00D86F1B"/>
    <w:rsid w:val="00D87B3B"/>
    <w:rsid w:val="00D87B93"/>
    <w:rsid w:val="00D87CA3"/>
    <w:rsid w:val="00D87DA3"/>
    <w:rsid w:val="00D90D3F"/>
    <w:rsid w:val="00D92455"/>
    <w:rsid w:val="00D928C5"/>
    <w:rsid w:val="00D92943"/>
    <w:rsid w:val="00D92A67"/>
    <w:rsid w:val="00D93854"/>
    <w:rsid w:val="00D94D58"/>
    <w:rsid w:val="00D961A8"/>
    <w:rsid w:val="00D96AD3"/>
    <w:rsid w:val="00D96B5A"/>
    <w:rsid w:val="00D96F1E"/>
    <w:rsid w:val="00DA0120"/>
    <w:rsid w:val="00DA2EF6"/>
    <w:rsid w:val="00DA30A6"/>
    <w:rsid w:val="00DA4A9F"/>
    <w:rsid w:val="00DA4E84"/>
    <w:rsid w:val="00DA518F"/>
    <w:rsid w:val="00DA531F"/>
    <w:rsid w:val="00DA53DE"/>
    <w:rsid w:val="00DA63B3"/>
    <w:rsid w:val="00DA6F5C"/>
    <w:rsid w:val="00DA6F60"/>
    <w:rsid w:val="00DA72D1"/>
    <w:rsid w:val="00DA746E"/>
    <w:rsid w:val="00DA76BD"/>
    <w:rsid w:val="00DA7D93"/>
    <w:rsid w:val="00DA7EE1"/>
    <w:rsid w:val="00DB0197"/>
    <w:rsid w:val="00DB0EE0"/>
    <w:rsid w:val="00DB18DC"/>
    <w:rsid w:val="00DB1FC0"/>
    <w:rsid w:val="00DB23B4"/>
    <w:rsid w:val="00DB2ADB"/>
    <w:rsid w:val="00DB2D2C"/>
    <w:rsid w:val="00DB325B"/>
    <w:rsid w:val="00DB397E"/>
    <w:rsid w:val="00DB3F87"/>
    <w:rsid w:val="00DB4A02"/>
    <w:rsid w:val="00DB4C3C"/>
    <w:rsid w:val="00DB6630"/>
    <w:rsid w:val="00DB67F5"/>
    <w:rsid w:val="00DB7137"/>
    <w:rsid w:val="00DB7A73"/>
    <w:rsid w:val="00DB7ABA"/>
    <w:rsid w:val="00DC03AD"/>
    <w:rsid w:val="00DC0769"/>
    <w:rsid w:val="00DC105D"/>
    <w:rsid w:val="00DC1996"/>
    <w:rsid w:val="00DC1F75"/>
    <w:rsid w:val="00DC2547"/>
    <w:rsid w:val="00DC290B"/>
    <w:rsid w:val="00DC2ED4"/>
    <w:rsid w:val="00DC3364"/>
    <w:rsid w:val="00DC3E17"/>
    <w:rsid w:val="00DC3E39"/>
    <w:rsid w:val="00DC452B"/>
    <w:rsid w:val="00DC585E"/>
    <w:rsid w:val="00DC5A52"/>
    <w:rsid w:val="00DC5C1A"/>
    <w:rsid w:val="00DC5ED5"/>
    <w:rsid w:val="00DC6312"/>
    <w:rsid w:val="00DC74FC"/>
    <w:rsid w:val="00DC79F2"/>
    <w:rsid w:val="00DD0BED"/>
    <w:rsid w:val="00DD0CD9"/>
    <w:rsid w:val="00DD118E"/>
    <w:rsid w:val="00DD119D"/>
    <w:rsid w:val="00DD1C11"/>
    <w:rsid w:val="00DD2944"/>
    <w:rsid w:val="00DD2B21"/>
    <w:rsid w:val="00DD4C0A"/>
    <w:rsid w:val="00DD4F7D"/>
    <w:rsid w:val="00DD52E7"/>
    <w:rsid w:val="00DD545C"/>
    <w:rsid w:val="00DD5890"/>
    <w:rsid w:val="00DD6606"/>
    <w:rsid w:val="00DE0192"/>
    <w:rsid w:val="00DE0443"/>
    <w:rsid w:val="00DE1118"/>
    <w:rsid w:val="00DE1855"/>
    <w:rsid w:val="00DE2F8D"/>
    <w:rsid w:val="00DE3906"/>
    <w:rsid w:val="00DE44FD"/>
    <w:rsid w:val="00DE54C6"/>
    <w:rsid w:val="00DE56B4"/>
    <w:rsid w:val="00DE5F36"/>
    <w:rsid w:val="00DE626F"/>
    <w:rsid w:val="00DE7888"/>
    <w:rsid w:val="00DE7A52"/>
    <w:rsid w:val="00DE7B62"/>
    <w:rsid w:val="00DF224C"/>
    <w:rsid w:val="00DF2ACC"/>
    <w:rsid w:val="00DF2ADF"/>
    <w:rsid w:val="00DF3205"/>
    <w:rsid w:val="00DF3B0E"/>
    <w:rsid w:val="00DF3D89"/>
    <w:rsid w:val="00DF4688"/>
    <w:rsid w:val="00DF46D5"/>
    <w:rsid w:val="00DF470C"/>
    <w:rsid w:val="00DF4C80"/>
    <w:rsid w:val="00DF4F08"/>
    <w:rsid w:val="00DF5677"/>
    <w:rsid w:val="00DF5804"/>
    <w:rsid w:val="00DF5FA7"/>
    <w:rsid w:val="00DF61A2"/>
    <w:rsid w:val="00DF67E9"/>
    <w:rsid w:val="00DF69BA"/>
    <w:rsid w:val="00DF7C7B"/>
    <w:rsid w:val="00DF7E2E"/>
    <w:rsid w:val="00E006BE"/>
    <w:rsid w:val="00E00826"/>
    <w:rsid w:val="00E00CE3"/>
    <w:rsid w:val="00E00D53"/>
    <w:rsid w:val="00E01D5D"/>
    <w:rsid w:val="00E02BD1"/>
    <w:rsid w:val="00E03243"/>
    <w:rsid w:val="00E03490"/>
    <w:rsid w:val="00E0484A"/>
    <w:rsid w:val="00E04864"/>
    <w:rsid w:val="00E04C99"/>
    <w:rsid w:val="00E05480"/>
    <w:rsid w:val="00E05A66"/>
    <w:rsid w:val="00E0746C"/>
    <w:rsid w:val="00E0792C"/>
    <w:rsid w:val="00E114ED"/>
    <w:rsid w:val="00E11632"/>
    <w:rsid w:val="00E11E57"/>
    <w:rsid w:val="00E1361E"/>
    <w:rsid w:val="00E14782"/>
    <w:rsid w:val="00E1511F"/>
    <w:rsid w:val="00E15C7C"/>
    <w:rsid w:val="00E16550"/>
    <w:rsid w:val="00E16567"/>
    <w:rsid w:val="00E16F92"/>
    <w:rsid w:val="00E1728C"/>
    <w:rsid w:val="00E172F5"/>
    <w:rsid w:val="00E17689"/>
    <w:rsid w:val="00E17F28"/>
    <w:rsid w:val="00E205A0"/>
    <w:rsid w:val="00E20D29"/>
    <w:rsid w:val="00E20D3B"/>
    <w:rsid w:val="00E2197B"/>
    <w:rsid w:val="00E221C7"/>
    <w:rsid w:val="00E22358"/>
    <w:rsid w:val="00E228E3"/>
    <w:rsid w:val="00E22969"/>
    <w:rsid w:val="00E22A4E"/>
    <w:rsid w:val="00E2362D"/>
    <w:rsid w:val="00E23768"/>
    <w:rsid w:val="00E23E78"/>
    <w:rsid w:val="00E242BC"/>
    <w:rsid w:val="00E24DC7"/>
    <w:rsid w:val="00E25191"/>
    <w:rsid w:val="00E264A9"/>
    <w:rsid w:val="00E26870"/>
    <w:rsid w:val="00E26D0C"/>
    <w:rsid w:val="00E26DC4"/>
    <w:rsid w:val="00E27030"/>
    <w:rsid w:val="00E275B6"/>
    <w:rsid w:val="00E31049"/>
    <w:rsid w:val="00E31068"/>
    <w:rsid w:val="00E31F71"/>
    <w:rsid w:val="00E32099"/>
    <w:rsid w:val="00E32D31"/>
    <w:rsid w:val="00E33338"/>
    <w:rsid w:val="00E334C7"/>
    <w:rsid w:val="00E33B77"/>
    <w:rsid w:val="00E34449"/>
    <w:rsid w:val="00E345FE"/>
    <w:rsid w:val="00E34C28"/>
    <w:rsid w:val="00E3533E"/>
    <w:rsid w:val="00E36511"/>
    <w:rsid w:val="00E36CEB"/>
    <w:rsid w:val="00E40B17"/>
    <w:rsid w:val="00E41E10"/>
    <w:rsid w:val="00E428F7"/>
    <w:rsid w:val="00E42D2E"/>
    <w:rsid w:val="00E42F2E"/>
    <w:rsid w:val="00E42F4F"/>
    <w:rsid w:val="00E433A1"/>
    <w:rsid w:val="00E43C87"/>
    <w:rsid w:val="00E44015"/>
    <w:rsid w:val="00E44DE1"/>
    <w:rsid w:val="00E459FD"/>
    <w:rsid w:val="00E46241"/>
    <w:rsid w:val="00E4669A"/>
    <w:rsid w:val="00E4685F"/>
    <w:rsid w:val="00E46B74"/>
    <w:rsid w:val="00E46EA8"/>
    <w:rsid w:val="00E4707A"/>
    <w:rsid w:val="00E47E9E"/>
    <w:rsid w:val="00E503DE"/>
    <w:rsid w:val="00E505B8"/>
    <w:rsid w:val="00E52366"/>
    <w:rsid w:val="00E52B34"/>
    <w:rsid w:val="00E53347"/>
    <w:rsid w:val="00E53B6A"/>
    <w:rsid w:val="00E53CB3"/>
    <w:rsid w:val="00E55000"/>
    <w:rsid w:val="00E559F2"/>
    <w:rsid w:val="00E5707C"/>
    <w:rsid w:val="00E575B3"/>
    <w:rsid w:val="00E6032C"/>
    <w:rsid w:val="00E62286"/>
    <w:rsid w:val="00E6301B"/>
    <w:rsid w:val="00E63DE1"/>
    <w:rsid w:val="00E64231"/>
    <w:rsid w:val="00E643A7"/>
    <w:rsid w:val="00E64B8A"/>
    <w:rsid w:val="00E64C9F"/>
    <w:rsid w:val="00E65274"/>
    <w:rsid w:val="00E65CA7"/>
    <w:rsid w:val="00E678C8"/>
    <w:rsid w:val="00E702C0"/>
    <w:rsid w:val="00E70462"/>
    <w:rsid w:val="00E706B1"/>
    <w:rsid w:val="00E707AC"/>
    <w:rsid w:val="00E70A0D"/>
    <w:rsid w:val="00E71028"/>
    <w:rsid w:val="00E713DD"/>
    <w:rsid w:val="00E71559"/>
    <w:rsid w:val="00E72CBC"/>
    <w:rsid w:val="00E7304E"/>
    <w:rsid w:val="00E74465"/>
    <w:rsid w:val="00E747D2"/>
    <w:rsid w:val="00E76167"/>
    <w:rsid w:val="00E77300"/>
    <w:rsid w:val="00E77A7B"/>
    <w:rsid w:val="00E77B8D"/>
    <w:rsid w:val="00E80AA8"/>
    <w:rsid w:val="00E819CB"/>
    <w:rsid w:val="00E83010"/>
    <w:rsid w:val="00E830E8"/>
    <w:rsid w:val="00E830EF"/>
    <w:rsid w:val="00E8467D"/>
    <w:rsid w:val="00E8656E"/>
    <w:rsid w:val="00E8685D"/>
    <w:rsid w:val="00E868DF"/>
    <w:rsid w:val="00E868FA"/>
    <w:rsid w:val="00E86D9D"/>
    <w:rsid w:val="00E876B1"/>
    <w:rsid w:val="00E8777C"/>
    <w:rsid w:val="00E87A99"/>
    <w:rsid w:val="00E87CAB"/>
    <w:rsid w:val="00E9027C"/>
    <w:rsid w:val="00E9055A"/>
    <w:rsid w:val="00E907BD"/>
    <w:rsid w:val="00E913DB"/>
    <w:rsid w:val="00E91D0E"/>
    <w:rsid w:val="00E926DB"/>
    <w:rsid w:val="00E93F6A"/>
    <w:rsid w:val="00E94A01"/>
    <w:rsid w:val="00E94E40"/>
    <w:rsid w:val="00E95379"/>
    <w:rsid w:val="00E95410"/>
    <w:rsid w:val="00E95645"/>
    <w:rsid w:val="00E960BE"/>
    <w:rsid w:val="00E9616C"/>
    <w:rsid w:val="00E967CA"/>
    <w:rsid w:val="00E9768E"/>
    <w:rsid w:val="00E978B8"/>
    <w:rsid w:val="00E979D7"/>
    <w:rsid w:val="00E97D25"/>
    <w:rsid w:val="00E97EB3"/>
    <w:rsid w:val="00EA084C"/>
    <w:rsid w:val="00EA0EF9"/>
    <w:rsid w:val="00EA139E"/>
    <w:rsid w:val="00EA189B"/>
    <w:rsid w:val="00EA1A0B"/>
    <w:rsid w:val="00EA355B"/>
    <w:rsid w:val="00EA40B3"/>
    <w:rsid w:val="00EA40F2"/>
    <w:rsid w:val="00EA4412"/>
    <w:rsid w:val="00EA471A"/>
    <w:rsid w:val="00EA522C"/>
    <w:rsid w:val="00EA585F"/>
    <w:rsid w:val="00EA5BA7"/>
    <w:rsid w:val="00EA5EFE"/>
    <w:rsid w:val="00EA6C29"/>
    <w:rsid w:val="00EA7E84"/>
    <w:rsid w:val="00EB043F"/>
    <w:rsid w:val="00EB0610"/>
    <w:rsid w:val="00EB0917"/>
    <w:rsid w:val="00EB1320"/>
    <w:rsid w:val="00EB178F"/>
    <w:rsid w:val="00EB1A32"/>
    <w:rsid w:val="00EB1F4A"/>
    <w:rsid w:val="00EB2360"/>
    <w:rsid w:val="00EB257B"/>
    <w:rsid w:val="00EB2DA5"/>
    <w:rsid w:val="00EB320B"/>
    <w:rsid w:val="00EB44B8"/>
    <w:rsid w:val="00EB4528"/>
    <w:rsid w:val="00EB46B5"/>
    <w:rsid w:val="00EB4FCC"/>
    <w:rsid w:val="00EB5557"/>
    <w:rsid w:val="00EB5783"/>
    <w:rsid w:val="00EB609B"/>
    <w:rsid w:val="00EB7214"/>
    <w:rsid w:val="00EB7F39"/>
    <w:rsid w:val="00EC2113"/>
    <w:rsid w:val="00EC2ABB"/>
    <w:rsid w:val="00EC347A"/>
    <w:rsid w:val="00EC3674"/>
    <w:rsid w:val="00EC3A09"/>
    <w:rsid w:val="00EC3A8A"/>
    <w:rsid w:val="00EC3F76"/>
    <w:rsid w:val="00EC48C8"/>
    <w:rsid w:val="00EC58A6"/>
    <w:rsid w:val="00EC5B53"/>
    <w:rsid w:val="00EC7EC9"/>
    <w:rsid w:val="00ED0668"/>
    <w:rsid w:val="00ED124F"/>
    <w:rsid w:val="00ED1489"/>
    <w:rsid w:val="00ED1594"/>
    <w:rsid w:val="00ED1727"/>
    <w:rsid w:val="00ED1C3E"/>
    <w:rsid w:val="00ED205D"/>
    <w:rsid w:val="00ED21AF"/>
    <w:rsid w:val="00ED3951"/>
    <w:rsid w:val="00ED3A0A"/>
    <w:rsid w:val="00ED49E8"/>
    <w:rsid w:val="00ED4E9F"/>
    <w:rsid w:val="00ED4FF6"/>
    <w:rsid w:val="00ED52D0"/>
    <w:rsid w:val="00ED5581"/>
    <w:rsid w:val="00ED560F"/>
    <w:rsid w:val="00ED6821"/>
    <w:rsid w:val="00ED6B5E"/>
    <w:rsid w:val="00ED6B87"/>
    <w:rsid w:val="00ED6D96"/>
    <w:rsid w:val="00ED6E65"/>
    <w:rsid w:val="00ED7684"/>
    <w:rsid w:val="00EE048B"/>
    <w:rsid w:val="00EE097A"/>
    <w:rsid w:val="00EE0F9F"/>
    <w:rsid w:val="00EE1E89"/>
    <w:rsid w:val="00EE25BE"/>
    <w:rsid w:val="00EE2D77"/>
    <w:rsid w:val="00EE3712"/>
    <w:rsid w:val="00EE3FD8"/>
    <w:rsid w:val="00EE55E8"/>
    <w:rsid w:val="00EE70A4"/>
    <w:rsid w:val="00EE7A5B"/>
    <w:rsid w:val="00EE7C1C"/>
    <w:rsid w:val="00EE7DB6"/>
    <w:rsid w:val="00EF02D9"/>
    <w:rsid w:val="00EF089D"/>
    <w:rsid w:val="00EF1E30"/>
    <w:rsid w:val="00EF2470"/>
    <w:rsid w:val="00EF270B"/>
    <w:rsid w:val="00EF2959"/>
    <w:rsid w:val="00EF2B18"/>
    <w:rsid w:val="00EF2F08"/>
    <w:rsid w:val="00EF3986"/>
    <w:rsid w:val="00EF3ECF"/>
    <w:rsid w:val="00EF406F"/>
    <w:rsid w:val="00EF51E5"/>
    <w:rsid w:val="00EF5352"/>
    <w:rsid w:val="00EF562C"/>
    <w:rsid w:val="00EF6EC1"/>
    <w:rsid w:val="00EF78F5"/>
    <w:rsid w:val="00F00541"/>
    <w:rsid w:val="00F00BC3"/>
    <w:rsid w:val="00F020B6"/>
    <w:rsid w:val="00F02867"/>
    <w:rsid w:val="00F0336D"/>
    <w:rsid w:val="00F04224"/>
    <w:rsid w:val="00F04E49"/>
    <w:rsid w:val="00F05885"/>
    <w:rsid w:val="00F05C43"/>
    <w:rsid w:val="00F05E81"/>
    <w:rsid w:val="00F06539"/>
    <w:rsid w:val="00F0694E"/>
    <w:rsid w:val="00F06C15"/>
    <w:rsid w:val="00F07548"/>
    <w:rsid w:val="00F07780"/>
    <w:rsid w:val="00F079DA"/>
    <w:rsid w:val="00F07E4F"/>
    <w:rsid w:val="00F10312"/>
    <w:rsid w:val="00F108A8"/>
    <w:rsid w:val="00F11681"/>
    <w:rsid w:val="00F1388F"/>
    <w:rsid w:val="00F138FF"/>
    <w:rsid w:val="00F13A92"/>
    <w:rsid w:val="00F144BD"/>
    <w:rsid w:val="00F14747"/>
    <w:rsid w:val="00F1557D"/>
    <w:rsid w:val="00F16507"/>
    <w:rsid w:val="00F172EA"/>
    <w:rsid w:val="00F17763"/>
    <w:rsid w:val="00F17DA5"/>
    <w:rsid w:val="00F20143"/>
    <w:rsid w:val="00F20761"/>
    <w:rsid w:val="00F20F01"/>
    <w:rsid w:val="00F226A3"/>
    <w:rsid w:val="00F2335A"/>
    <w:rsid w:val="00F25FA8"/>
    <w:rsid w:val="00F261AF"/>
    <w:rsid w:val="00F26CE0"/>
    <w:rsid w:val="00F26D81"/>
    <w:rsid w:val="00F27044"/>
    <w:rsid w:val="00F27595"/>
    <w:rsid w:val="00F27CF4"/>
    <w:rsid w:val="00F3024D"/>
    <w:rsid w:val="00F3082A"/>
    <w:rsid w:val="00F313B9"/>
    <w:rsid w:val="00F326D9"/>
    <w:rsid w:val="00F34FDC"/>
    <w:rsid w:val="00F36CBF"/>
    <w:rsid w:val="00F36E93"/>
    <w:rsid w:val="00F378B4"/>
    <w:rsid w:val="00F40F25"/>
    <w:rsid w:val="00F41C23"/>
    <w:rsid w:val="00F41D1F"/>
    <w:rsid w:val="00F43345"/>
    <w:rsid w:val="00F434B3"/>
    <w:rsid w:val="00F4380D"/>
    <w:rsid w:val="00F43ADD"/>
    <w:rsid w:val="00F443BF"/>
    <w:rsid w:val="00F4446F"/>
    <w:rsid w:val="00F44B6F"/>
    <w:rsid w:val="00F451FD"/>
    <w:rsid w:val="00F45A2D"/>
    <w:rsid w:val="00F45B9A"/>
    <w:rsid w:val="00F46011"/>
    <w:rsid w:val="00F46A63"/>
    <w:rsid w:val="00F471FC"/>
    <w:rsid w:val="00F506A3"/>
    <w:rsid w:val="00F5108F"/>
    <w:rsid w:val="00F510CC"/>
    <w:rsid w:val="00F5177E"/>
    <w:rsid w:val="00F52420"/>
    <w:rsid w:val="00F53D16"/>
    <w:rsid w:val="00F53E6F"/>
    <w:rsid w:val="00F53F2A"/>
    <w:rsid w:val="00F54494"/>
    <w:rsid w:val="00F54F28"/>
    <w:rsid w:val="00F55185"/>
    <w:rsid w:val="00F5571B"/>
    <w:rsid w:val="00F55FD3"/>
    <w:rsid w:val="00F57070"/>
    <w:rsid w:val="00F57421"/>
    <w:rsid w:val="00F60238"/>
    <w:rsid w:val="00F60350"/>
    <w:rsid w:val="00F6056C"/>
    <w:rsid w:val="00F6080A"/>
    <w:rsid w:val="00F62104"/>
    <w:rsid w:val="00F62E4C"/>
    <w:rsid w:val="00F62ED4"/>
    <w:rsid w:val="00F63134"/>
    <w:rsid w:val="00F6365D"/>
    <w:rsid w:val="00F64C9B"/>
    <w:rsid w:val="00F64ECC"/>
    <w:rsid w:val="00F651C0"/>
    <w:rsid w:val="00F658BA"/>
    <w:rsid w:val="00F659C2"/>
    <w:rsid w:val="00F65BBD"/>
    <w:rsid w:val="00F6603F"/>
    <w:rsid w:val="00F6607D"/>
    <w:rsid w:val="00F66276"/>
    <w:rsid w:val="00F666AD"/>
    <w:rsid w:val="00F67097"/>
    <w:rsid w:val="00F71B73"/>
    <w:rsid w:val="00F71EFC"/>
    <w:rsid w:val="00F72703"/>
    <w:rsid w:val="00F738DE"/>
    <w:rsid w:val="00F73BE1"/>
    <w:rsid w:val="00F7478B"/>
    <w:rsid w:val="00F754B0"/>
    <w:rsid w:val="00F75878"/>
    <w:rsid w:val="00F76ED2"/>
    <w:rsid w:val="00F77E73"/>
    <w:rsid w:val="00F80507"/>
    <w:rsid w:val="00F81426"/>
    <w:rsid w:val="00F816DC"/>
    <w:rsid w:val="00F8228E"/>
    <w:rsid w:val="00F83AA0"/>
    <w:rsid w:val="00F84482"/>
    <w:rsid w:val="00F84C7F"/>
    <w:rsid w:val="00F84EEA"/>
    <w:rsid w:val="00F85803"/>
    <w:rsid w:val="00F85A1B"/>
    <w:rsid w:val="00F862DC"/>
    <w:rsid w:val="00F862DF"/>
    <w:rsid w:val="00F86E34"/>
    <w:rsid w:val="00F8740D"/>
    <w:rsid w:val="00F8798F"/>
    <w:rsid w:val="00F87AB1"/>
    <w:rsid w:val="00F87D99"/>
    <w:rsid w:val="00F9021A"/>
    <w:rsid w:val="00F902B9"/>
    <w:rsid w:val="00F90FB5"/>
    <w:rsid w:val="00F91D87"/>
    <w:rsid w:val="00F91DE4"/>
    <w:rsid w:val="00F91E3A"/>
    <w:rsid w:val="00F92153"/>
    <w:rsid w:val="00F922DA"/>
    <w:rsid w:val="00F944CE"/>
    <w:rsid w:val="00F952DE"/>
    <w:rsid w:val="00F96456"/>
    <w:rsid w:val="00F97E4F"/>
    <w:rsid w:val="00FA02C0"/>
    <w:rsid w:val="00FA0751"/>
    <w:rsid w:val="00FA28B1"/>
    <w:rsid w:val="00FA5125"/>
    <w:rsid w:val="00FA5D60"/>
    <w:rsid w:val="00FA5E03"/>
    <w:rsid w:val="00FA5FE1"/>
    <w:rsid w:val="00FA6292"/>
    <w:rsid w:val="00FA6D05"/>
    <w:rsid w:val="00FA6D60"/>
    <w:rsid w:val="00FA77DE"/>
    <w:rsid w:val="00FB00CD"/>
    <w:rsid w:val="00FB09C1"/>
    <w:rsid w:val="00FB0BD6"/>
    <w:rsid w:val="00FB0DAC"/>
    <w:rsid w:val="00FB145A"/>
    <w:rsid w:val="00FB36F0"/>
    <w:rsid w:val="00FB398D"/>
    <w:rsid w:val="00FB3AFE"/>
    <w:rsid w:val="00FB3E8F"/>
    <w:rsid w:val="00FB448C"/>
    <w:rsid w:val="00FB479D"/>
    <w:rsid w:val="00FB4988"/>
    <w:rsid w:val="00FB512D"/>
    <w:rsid w:val="00FB5297"/>
    <w:rsid w:val="00FB6CB9"/>
    <w:rsid w:val="00FB6E50"/>
    <w:rsid w:val="00FB70D9"/>
    <w:rsid w:val="00FB7ED9"/>
    <w:rsid w:val="00FC0275"/>
    <w:rsid w:val="00FC03B5"/>
    <w:rsid w:val="00FC0E9D"/>
    <w:rsid w:val="00FC180A"/>
    <w:rsid w:val="00FC2112"/>
    <w:rsid w:val="00FC3F73"/>
    <w:rsid w:val="00FC4173"/>
    <w:rsid w:val="00FC47E7"/>
    <w:rsid w:val="00FC4C1F"/>
    <w:rsid w:val="00FC4CD2"/>
    <w:rsid w:val="00FC6397"/>
    <w:rsid w:val="00FC741E"/>
    <w:rsid w:val="00FC7A19"/>
    <w:rsid w:val="00FD0252"/>
    <w:rsid w:val="00FD16B2"/>
    <w:rsid w:val="00FD1DA7"/>
    <w:rsid w:val="00FD24E9"/>
    <w:rsid w:val="00FD2A74"/>
    <w:rsid w:val="00FD4AA1"/>
    <w:rsid w:val="00FD5618"/>
    <w:rsid w:val="00FD5932"/>
    <w:rsid w:val="00FD5AE1"/>
    <w:rsid w:val="00FD5AE5"/>
    <w:rsid w:val="00FD60DF"/>
    <w:rsid w:val="00FD6D01"/>
    <w:rsid w:val="00FD7682"/>
    <w:rsid w:val="00FD7E78"/>
    <w:rsid w:val="00FE16A6"/>
    <w:rsid w:val="00FE1F94"/>
    <w:rsid w:val="00FE29FA"/>
    <w:rsid w:val="00FE4363"/>
    <w:rsid w:val="00FE4637"/>
    <w:rsid w:val="00FE48DB"/>
    <w:rsid w:val="00FE499B"/>
    <w:rsid w:val="00FE4DCB"/>
    <w:rsid w:val="00FE53E3"/>
    <w:rsid w:val="00FE5F36"/>
    <w:rsid w:val="00FE6975"/>
    <w:rsid w:val="00FE6D4B"/>
    <w:rsid w:val="00FF0B9A"/>
    <w:rsid w:val="00FF0DF6"/>
    <w:rsid w:val="00FF13C8"/>
    <w:rsid w:val="00FF1DF8"/>
    <w:rsid w:val="00FF213A"/>
    <w:rsid w:val="00FF2943"/>
    <w:rsid w:val="00FF2C04"/>
    <w:rsid w:val="00FF2D2B"/>
    <w:rsid w:val="00FF32E3"/>
    <w:rsid w:val="00FF3A45"/>
    <w:rsid w:val="00FF3D98"/>
    <w:rsid w:val="00FF3F85"/>
    <w:rsid w:val="00FF48D4"/>
    <w:rsid w:val="00FF5905"/>
    <w:rsid w:val="00FF5B95"/>
    <w:rsid w:val="00FF5DF4"/>
    <w:rsid w:val="00FF5FF7"/>
    <w:rsid w:val="00FF66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226E"/>
  <w15:chartTrackingRefBased/>
  <w15:docId w15:val="{2F95E948-F434-3040-86A1-A252627E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68"/>
    <w:rPr>
      <w:rFonts w:ascii="Times New Roman" w:eastAsia="Times New Roman" w:hAnsi="Times New Roman" w:cs="Times New Roman"/>
    </w:rPr>
  </w:style>
  <w:style w:type="paragraph" w:styleId="Heading1">
    <w:name w:val="heading 1"/>
    <w:basedOn w:val="Normal"/>
    <w:next w:val="Normal"/>
    <w:link w:val="Heading1Char"/>
    <w:uiPriority w:val="9"/>
    <w:qFormat/>
    <w:rsid w:val="007D361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041E3"/>
    <w:rPr>
      <w:i/>
      <w:iCs/>
    </w:rPr>
  </w:style>
  <w:style w:type="paragraph" w:styleId="NormalWeb">
    <w:name w:val="Normal (Web)"/>
    <w:basedOn w:val="Normal"/>
    <w:uiPriority w:val="99"/>
    <w:unhideWhenUsed/>
    <w:rsid w:val="005041E3"/>
    <w:pPr>
      <w:spacing w:before="100" w:beforeAutospacing="1" w:after="100" w:afterAutospacing="1"/>
    </w:pPr>
  </w:style>
  <w:style w:type="paragraph" w:styleId="FootnoteText">
    <w:name w:val="footnote text"/>
    <w:basedOn w:val="Normal"/>
    <w:link w:val="FootnoteTextChar"/>
    <w:uiPriority w:val="99"/>
    <w:unhideWhenUsed/>
    <w:rsid w:val="005041E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041E3"/>
    <w:rPr>
      <w:sz w:val="20"/>
      <w:szCs w:val="20"/>
    </w:rPr>
  </w:style>
  <w:style w:type="character" w:styleId="FootnoteReference">
    <w:name w:val="footnote reference"/>
    <w:basedOn w:val="DefaultParagraphFont"/>
    <w:uiPriority w:val="99"/>
    <w:semiHidden/>
    <w:unhideWhenUsed/>
    <w:rsid w:val="005041E3"/>
    <w:rPr>
      <w:vertAlign w:val="superscript"/>
    </w:rPr>
  </w:style>
  <w:style w:type="character" w:styleId="Hyperlink">
    <w:name w:val="Hyperlink"/>
    <w:basedOn w:val="DefaultParagraphFont"/>
    <w:uiPriority w:val="99"/>
    <w:unhideWhenUsed/>
    <w:rsid w:val="006B2942"/>
    <w:rPr>
      <w:color w:val="0000FF"/>
      <w:u w:val="single"/>
    </w:rPr>
  </w:style>
  <w:style w:type="character" w:customStyle="1" w:styleId="highlight">
    <w:name w:val="highlight"/>
    <w:basedOn w:val="DefaultParagraphFont"/>
    <w:rsid w:val="004B750F"/>
  </w:style>
  <w:style w:type="character" w:customStyle="1" w:styleId="citation">
    <w:name w:val="citation"/>
    <w:basedOn w:val="DefaultParagraphFont"/>
    <w:rsid w:val="004B750F"/>
  </w:style>
  <w:style w:type="character" w:customStyle="1" w:styleId="citation-item">
    <w:name w:val="citation-item"/>
    <w:basedOn w:val="DefaultParagraphFont"/>
    <w:rsid w:val="004B750F"/>
  </w:style>
  <w:style w:type="paragraph" w:styleId="ListParagraph">
    <w:name w:val="List Paragraph"/>
    <w:basedOn w:val="Normal"/>
    <w:uiPriority w:val="34"/>
    <w:qFormat/>
    <w:rsid w:val="00EF2B18"/>
    <w:pPr>
      <w:ind w:left="720"/>
      <w:contextualSpacing/>
    </w:pPr>
    <w:rPr>
      <w:rFonts w:asciiTheme="minorHAnsi" w:eastAsiaTheme="minorHAnsi" w:hAnsiTheme="minorHAnsi" w:cstheme="minorBidi"/>
    </w:rPr>
  </w:style>
  <w:style w:type="paragraph" w:styleId="Revision">
    <w:name w:val="Revision"/>
    <w:hidden/>
    <w:uiPriority w:val="99"/>
    <w:semiHidden/>
    <w:rsid w:val="00AC047C"/>
  </w:style>
  <w:style w:type="character" w:styleId="CommentReference">
    <w:name w:val="annotation reference"/>
    <w:basedOn w:val="DefaultParagraphFont"/>
    <w:uiPriority w:val="99"/>
    <w:semiHidden/>
    <w:unhideWhenUsed/>
    <w:rsid w:val="003D28DB"/>
    <w:rPr>
      <w:sz w:val="16"/>
      <w:szCs w:val="16"/>
    </w:rPr>
  </w:style>
  <w:style w:type="paragraph" w:styleId="CommentText">
    <w:name w:val="annotation text"/>
    <w:basedOn w:val="Normal"/>
    <w:link w:val="CommentTextChar"/>
    <w:uiPriority w:val="99"/>
    <w:unhideWhenUsed/>
    <w:rsid w:val="003D28DB"/>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D28DB"/>
    <w:rPr>
      <w:sz w:val="20"/>
      <w:szCs w:val="20"/>
    </w:rPr>
  </w:style>
  <w:style w:type="paragraph" w:styleId="CommentSubject">
    <w:name w:val="annotation subject"/>
    <w:basedOn w:val="CommentText"/>
    <w:next w:val="CommentText"/>
    <w:link w:val="CommentSubjectChar"/>
    <w:uiPriority w:val="99"/>
    <w:semiHidden/>
    <w:unhideWhenUsed/>
    <w:rsid w:val="003D28DB"/>
    <w:rPr>
      <w:b/>
      <w:bCs/>
    </w:rPr>
  </w:style>
  <w:style w:type="character" w:customStyle="1" w:styleId="CommentSubjectChar">
    <w:name w:val="Comment Subject Char"/>
    <w:basedOn w:val="CommentTextChar"/>
    <w:link w:val="CommentSubject"/>
    <w:uiPriority w:val="99"/>
    <w:semiHidden/>
    <w:rsid w:val="003D28DB"/>
    <w:rPr>
      <w:b/>
      <w:bCs/>
      <w:sz w:val="20"/>
      <w:szCs w:val="20"/>
    </w:rPr>
  </w:style>
  <w:style w:type="character" w:styleId="UnresolvedMention">
    <w:name w:val="Unresolved Mention"/>
    <w:basedOn w:val="DefaultParagraphFont"/>
    <w:uiPriority w:val="99"/>
    <w:semiHidden/>
    <w:unhideWhenUsed/>
    <w:rsid w:val="00053EC5"/>
    <w:rPr>
      <w:color w:val="605E5C"/>
      <w:shd w:val="clear" w:color="auto" w:fill="E1DFDD"/>
    </w:rPr>
  </w:style>
  <w:style w:type="character" w:customStyle="1" w:styleId="comment">
    <w:name w:val="comment"/>
    <w:basedOn w:val="DefaultParagraphFont"/>
    <w:rsid w:val="00E77300"/>
  </w:style>
  <w:style w:type="character" w:styleId="Strong">
    <w:name w:val="Strong"/>
    <w:basedOn w:val="DefaultParagraphFont"/>
    <w:uiPriority w:val="22"/>
    <w:qFormat/>
    <w:rsid w:val="00E77300"/>
    <w:rPr>
      <w:b/>
      <w:bCs/>
    </w:rPr>
  </w:style>
  <w:style w:type="character" w:styleId="FollowedHyperlink">
    <w:name w:val="FollowedHyperlink"/>
    <w:basedOn w:val="DefaultParagraphFont"/>
    <w:uiPriority w:val="99"/>
    <w:semiHidden/>
    <w:unhideWhenUsed/>
    <w:rsid w:val="00482CA6"/>
    <w:rPr>
      <w:color w:val="954F72" w:themeColor="followedHyperlink"/>
      <w:u w:val="single"/>
    </w:rPr>
  </w:style>
  <w:style w:type="paragraph" w:styleId="Footer">
    <w:name w:val="footer"/>
    <w:basedOn w:val="Normal"/>
    <w:link w:val="FooterChar"/>
    <w:uiPriority w:val="99"/>
    <w:unhideWhenUsed/>
    <w:rsid w:val="008F397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8F397A"/>
  </w:style>
  <w:style w:type="character" w:styleId="PageNumber">
    <w:name w:val="page number"/>
    <w:basedOn w:val="DefaultParagraphFont"/>
    <w:uiPriority w:val="99"/>
    <w:semiHidden/>
    <w:unhideWhenUsed/>
    <w:rsid w:val="008F397A"/>
  </w:style>
  <w:style w:type="character" w:customStyle="1" w:styleId="Heading1Char">
    <w:name w:val="Heading 1 Char"/>
    <w:basedOn w:val="DefaultParagraphFont"/>
    <w:link w:val="Heading1"/>
    <w:uiPriority w:val="9"/>
    <w:rsid w:val="007D361E"/>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310168"/>
  </w:style>
  <w:style w:type="character" w:styleId="EndnoteReference">
    <w:name w:val="endnote reference"/>
    <w:basedOn w:val="DefaultParagraphFont"/>
    <w:uiPriority w:val="99"/>
    <w:semiHidden/>
    <w:unhideWhenUsed/>
    <w:rsid w:val="000701C4"/>
    <w:rPr>
      <w:vertAlign w:val="superscript"/>
    </w:rPr>
  </w:style>
  <w:style w:type="character" w:customStyle="1" w:styleId="markedcontent">
    <w:name w:val="markedcontent"/>
    <w:basedOn w:val="DefaultParagraphFont"/>
    <w:rsid w:val="00A67674"/>
  </w:style>
  <w:style w:type="table" w:styleId="TableGrid">
    <w:name w:val="Table Grid"/>
    <w:basedOn w:val="TableNormal"/>
    <w:uiPriority w:val="39"/>
    <w:rsid w:val="00C9592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CFB"/>
    <w:pPr>
      <w:tabs>
        <w:tab w:val="center" w:pos="4680"/>
        <w:tab w:val="right" w:pos="9360"/>
      </w:tabs>
    </w:pPr>
  </w:style>
  <w:style w:type="character" w:customStyle="1" w:styleId="HeaderChar">
    <w:name w:val="Header Char"/>
    <w:basedOn w:val="DefaultParagraphFont"/>
    <w:link w:val="Header"/>
    <w:uiPriority w:val="99"/>
    <w:rsid w:val="003E5CFB"/>
    <w:rPr>
      <w:rFonts w:ascii="Times New Roman" w:eastAsia="Times New Roman" w:hAnsi="Times New Roman" w:cs="Times New Roman"/>
    </w:rPr>
  </w:style>
  <w:style w:type="paragraph" w:customStyle="1" w:styleId="paragraph">
    <w:name w:val="paragraph"/>
    <w:basedOn w:val="Normal"/>
    <w:rsid w:val="006848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96945">
      <w:bodyDiv w:val="1"/>
      <w:marLeft w:val="0"/>
      <w:marRight w:val="0"/>
      <w:marTop w:val="0"/>
      <w:marBottom w:val="0"/>
      <w:divBdr>
        <w:top w:val="none" w:sz="0" w:space="0" w:color="auto"/>
        <w:left w:val="none" w:sz="0" w:space="0" w:color="auto"/>
        <w:bottom w:val="none" w:sz="0" w:space="0" w:color="auto"/>
        <w:right w:val="none" w:sz="0" w:space="0" w:color="auto"/>
      </w:divBdr>
      <w:divsChild>
        <w:div w:id="345981510">
          <w:marLeft w:val="480"/>
          <w:marRight w:val="0"/>
          <w:marTop w:val="0"/>
          <w:marBottom w:val="0"/>
          <w:divBdr>
            <w:top w:val="none" w:sz="0" w:space="0" w:color="auto"/>
            <w:left w:val="none" w:sz="0" w:space="0" w:color="auto"/>
            <w:bottom w:val="none" w:sz="0" w:space="0" w:color="auto"/>
            <w:right w:val="none" w:sz="0" w:space="0" w:color="auto"/>
          </w:divBdr>
          <w:divsChild>
            <w:div w:id="151568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2053">
      <w:bodyDiv w:val="1"/>
      <w:marLeft w:val="0"/>
      <w:marRight w:val="0"/>
      <w:marTop w:val="0"/>
      <w:marBottom w:val="0"/>
      <w:divBdr>
        <w:top w:val="none" w:sz="0" w:space="0" w:color="auto"/>
        <w:left w:val="none" w:sz="0" w:space="0" w:color="auto"/>
        <w:bottom w:val="none" w:sz="0" w:space="0" w:color="auto"/>
        <w:right w:val="none" w:sz="0" w:space="0" w:color="auto"/>
      </w:divBdr>
      <w:divsChild>
        <w:div w:id="1020740413">
          <w:marLeft w:val="480"/>
          <w:marRight w:val="0"/>
          <w:marTop w:val="0"/>
          <w:marBottom w:val="0"/>
          <w:divBdr>
            <w:top w:val="none" w:sz="0" w:space="0" w:color="auto"/>
            <w:left w:val="none" w:sz="0" w:space="0" w:color="auto"/>
            <w:bottom w:val="none" w:sz="0" w:space="0" w:color="auto"/>
            <w:right w:val="none" w:sz="0" w:space="0" w:color="auto"/>
          </w:divBdr>
          <w:divsChild>
            <w:div w:id="19516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13966">
      <w:bodyDiv w:val="1"/>
      <w:marLeft w:val="0"/>
      <w:marRight w:val="0"/>
      <w:marTop w:val="0"/>
      <w:marBottom w:val="0"/>
      <w:divBdr>
        <w:top w:val="none" w:sz="0" w:space="0" w:color="auto"/>
        <w:left w:val="none" w:sz="0" w:space="0" w:color="auto"/>
        <w:bottom w:val="none" w:sz="0" w:space="0" w:color="auto"/>
        <w:right w:val="none" w:sz="0" w:space="0" w:color="auto"/>
      </w:divBdr>
      <w:divsChild>
        <w:div w:id="1015499755">
          <w:marLeft w:val="480"/>
          <w:marRight w:val="0"/>
          <w:marTop w:val="0"/>
          <w:marBottom w:val="0"/>
          <w:divBdr>
            <w:top w:val="none" w:sz="0" w:space="0" w:color="auto"/>
            <w:left w:val="none" w:sz="0" w:space="0" w:color="auto"/>
            <w:bottom w:val="none" w:sz="0" w:space="0" w:color="auto"/>
            <w:right w:val="none" w:sz="0" w:space="0" w:color="auto"/>
          </w:divBdr>
          <w:divsChild>
            <w:div w:id="3917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48080">
      <w:bodyDiv w:val="1"/>
      <w:marLeft w:val="0"/>
      <w:marRight w:val="0"/>
      <w:marTop w:val="0"/>
      <w:marBottom w:val="0"/>
      <w:divBdr>
        <w:top w:val="none" w:sz="0" w:space="0" w:color="auto"/>
        <w:left w:val="none" w:sz="0" w:space="0" w:color="auto"/>
        <w:bottom w:val="none" w:sz="0" w:space="0" w:color="auto"/>
        <w:right w:val="none" w:sz="0" w:space="0" w:color="auto"/>
      </w:divBdr>
      <w:divsChild>
        <w:div w:id="1973901774">
          <w:marLeft w:val="0"/>
          <w:marRight w:val="0"/>
          <w:marTop w:val="0"/>
          <w:marBottom w:val="0"/>
          <w:divBdr>
            <w:top w:val="none" w:sz="0" w:space="0" w:color="auto"/>
            <w:left w:val="none" w:sz="0" w:space="0" w:color="auto"/>
            <w:bottom w:val="none" w:sz="0" w:space="0" w:color="auto"/>
            <w:right w:val="none" w:sz="0" w:space="0" w:color="auto"/>
          </w:divBdr>
        </w:div>
        <w:div w:id="1229153316">
          <w:marLeft w:val="0"/>
          <w:marRight w:val="0"/>
          <w:marTop w:val="0"/>
          <w:marBottom w:val="0"/>
          <w:divBdr>
            <w:top w:val="none" w:sz="0" w:space="0" w:color="auto"/>
            <w:left w:val="none" w:sz="0" w:space="0" w:color="auto"/>
            <w:bottom w:val="none" w:sz="0" w:space="0" w:color="auto"/>
            <w:right w:val="none" w:sz="0" w:space="0" w:color="auto"/>
          </w:divBdr>
        </w:div>
        <w:div w:id="1377923684">
          <w:marLeft w:val="0"/>
          <w:marRight w:val="0"/>
          <w:marTop w:val="0"/>
          <w:marBottom w:val="0"/>
          <w:divBdr>
            <w:top w:val="none" w:sz="0" w:space="0" w:color="auto"/>
            <w:left w:val="none" w:sz="0" w:space="0" w:color="auto"/>
            <w:bottom w:val="none" w:sz="0" w:space="0" w:color="auto"/>
            <w:right w:val="none" w:sz="0" w:space="0" w:color="auto"/>
          </w:divBdr>
        </w:div>
      </w:divsChild>
    </w:div>
    <w:div w:id="275984048">
      <w:bodyDiv w:val="1"/>
      <w:marLeft w:val="0"/>
      <w:marRight w:val="0"/>
      <w:marTop w:val="0"/>
      <w:marBottom w:val="0"/>
      <w:divBdr>
        <w:top w:val="none" w:sz="0" w:space="0" w:color="auto"/>
        <w:left w:val="none" w:sz="0" w:space="0" w:color="auto"/>
        <w:bottom w:val="none" w:sz="0" w:space="0" w:color="auto"/>
        <w:right w:val="none" w:sz="0" w:space="0" w:color="auto"/>
      </w:divBdr>
    </w:div>
    <w:div w:id="276378558">
      <w:bodyDiv w:val="1"/>
      <w:marLeft w:val="0"/>
      <w:marRight w:val="0"/>
      <w:marTop w:val="0"/>
      <w:marBottom w:val="0"/>
      <w:divBdr>
        <w:top w:val="none" w:sz="0" w:space="0" w:color="auto"/>
        <w:left w:val="none" w:sz="0" w:space="0" w:color="auto"/>
        <w:bottom w:val="none" w:sz="0" w:space="0" w:color="auto"/>
        <w:right w:val="none" w:sz="0" w:space="0" w:color="auto"/>
      </w:divBdr>
      <w:divsChild>
        <w:div w:id="1580552582">
          <w:marLeft w:val="480"/>
          <w:marRight w:val="0"/>
          <w:marTop w:val="0"/>
          <w:marBottom w:val="0"/>
          <w:divBdr>
            <w:top w:val="none" w:sz="0" w:space="0" w:color="auto"/>
            <w:left w:val="none" w:sz="0" w:space="0" w:color="auto"/>
            <w:bottom w:val="none" w:sz="0" w:space="0" w:color="auto"/>
            <w:right w:val="none" w:sz="0" w:space="0" w:color="auto"/>
          </w:divBdr>
          <w:divsChild>
            <w:div w:id="13291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79368">
      <w:bodyDiv w:val="1"/>
      <w:marLeft w:val="0"/>
      <w:marRight w:val="0"/>
      <w:marTop w:val="0"/>
      <w:marBottom w:val="0"/>
      <w:divBdr>
        <w:top w:val="none" w:sz="0" w:space="0" w:color="auto"/>
        <w:left w:val="none" w:sz="0" w:space="0" w:color="auto"/>
        <w:bottom w:val="none" w:sz="0" w:space="0" w:color="auto"/>
        <w:right w:val="none" w:sz="0" w:space="0" w:color="auto"/>
      </w:divBdr>
    </w:div>
    <w:div w:id="311100604">
      <w:bodyDiv w:val="1"/>
      <w:marLeft w:val="0"/>
      <w:marRight w:val="0"/>
      <w:marTop w:val="0"/>
      <w:marBottom w:val="0"/>
      <w:divBdr>
        <w:top w:val="none" w:sz="0" w:space="0" w:color="auto"/>
        <w:left w:val="none" w:sz="0" w:space="0" w:color="auto"/>
        <w:bottom w:val="none" w:sz="0" w:space="0" w:color="auto"/>
        <w:right w:val="none" w:sz="0" w:space="0" w:color="auto"/>
      </w:divBdr>
      <w:divsChild>
        <w:div w:id="1202127684">
          <w:marLeft w:val="0"/>
          <w:marRight w:val="0"/>
          <w:marTop w:val="0"/>
          <w:marBottom w:val="0"/>
          <w:divBdr>
            <w:top w:val="none" w:sz="0" w:space="0" w:color="auto"/>
            <w:left w:val="none" w:sz="0" w:space="0" w:color="auto"/>
            <w:bottom w:val="none" w:sz="0" w:space="0" w:color="auto"/>
            <w:right w:val="none" w:sz="0" w:space="0" w:color="auto"/>
          </w:divBdr>
        </w:div>
        <w:div w:id="1638341581">
          <w:marLeft w:val="0"/>
          <w:marRight w:val="0"/>
          <w:marTop w:val="0"/>
          <w:marBottom w:val="0"/>
          <w:divBdr>
            <w:top w:val="none" w:sz="0" w:space="0" w:color="auto"/>
            <w:left w:val="none" w:sz="0" w:space="0" w:color="auto"/>
            <w:bottom w:val="none" w:sz="0" w:space="0" w:color="auto"/>
            <w:right w:val="none" w:sz="0" w:space="0" w:color="auto"/>
          </w:divBdr>
        </w:div>
        <w:div w:id="640581285">
          <w:marLeft w:val="0"/>
          <w:marRight w:val="0"/>
          <w:marTop w:val="0"/>
          <w:marBottom w:val="0"/>
          <w:divBdr>
            <w:top w:val="none" w:sz="0" w:space="0" w:color="auto"/>
            <w:left w:val="none" w:sz="0" w:space="0" w:color="auto"/>
            <w:bottom w:val="none" w:sz="0" w:space="0" w:color="auto"/>
            <w:right w:val="none" w:sz="0" w:space="0" w:color="auto"/>
          </w:divBdr>
        </w:div>
        <w:div w:id="939919184">
          <w:marLeft w:val="0"/>
          <w:marRight w:val="0"/>
          <w:marTop w:val="0"/>
          <w:marBottom w:val="0"/>
          <w:divBdr>
            <w:top w:val="none" w:sz="0" w:space="0" w:color="auto"/>
            <w:left w:val="none" w:sz="0" w:space="0" w:color="auto"/>
            <w:bottom w:val="none" w:sz="0" w:space="0" w:color="auto"/>
            <w:right w:val="none" w:sz="0" w:space="0" w:color="auto"/>
          </w:divBdr>
        </w:div>
      </w:divsChild>
    </w:div>
    <w:div w:id="315572169">
      <w:bodyDiv w:val="1"/>
      <w:marLeft w:val="0"/>
      <w:marRight w:val="0"/>
      <w:marTop w:val="0"/>
      <w:marBottom w:val="0"/>
      <w:divBdr>
        <w:top w:val="none" w:sz="0" w:space="0" w:color="auto"/>
        <w:left w:val="none" w:sz="0" w:space="0" w:color="auto"/>
        <w:bottom w:val="none" w:sz="0" w:space="0" w:color="auto"/>
        <w:right w:val="none" w:sz="0" w:space="0" w:color="auto"/>
      </w:divBdr>
    </w:div>
    <w:div w:id="317148834">
      <w:bodyDiv w:val="1"/>
      <w:marLeft w:val="0"/>
      <w:marRight w:val="0"/>
      <w:marTop w:val="0"/>
      <w:marBottom w:val="0"/>
      <w:divBdr>
        <w:top w:val="none" w:sz="0" w:space="0" w:color="auto"/>
        <w:left w:val="none" w:sz="0" w:space="0" w:color="auto"/>
        <w:bottom w:val="none" w:sz="0" w:space="0" w:color="auto"/>
        <w:right w:val="none" w:sz="0" w:space="0" w:color="auto"/>
      </w:divBdr>
      <w:divsChild>
        <w:div w:id="320353644">
          <w:marLeft w:val="480"/>
          <w:marRight w:val="0"/>
          <w:marTop w:val="0"/>
          <w:marBottom w:val="0"/>
          <w:divBdr>
            <w:top w:val="none" w:sz="0" w:space="0" w:color="auto"/>
            <w:left w:val="none" w:sz="0" w:space="0" w:color="auto"/>
            <w:bottom w:val="none" w:sz="0" w:space="0" w:color="auto"/>
            <w:right w:val="none" w:sz="0" w:space="0" w:color="auto"/>
          </w:divBdr>
          <w:divsChild>
            <w:div w:id="9628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08441">
      <w:bodyDiv w:val="1"/>
      <w:marLeft w:val="0"/>
      <w:marRight w:val="0"/>
      <w:marTop w:val="0"/>
      <w:marBottom w:val="0"/>
      <w:divBdr>
        <w:top w:val="none" w:sz="0" w:space="0" w:color="auto"/>
        <w:left w:val="none" w:sz="0" w:space="0" w:color="auto"/>
        <w:bottom w:val="none" w:sz="0" w:space="0" w:color="auto"/>
        <w:right w:val="none" w:sz="0" w:space="0" w:color="auto"/>
      </w:divBdr>
    </w:div>
    <w:div w:id="330570524">
      <w:bodyDiv w:val="1"/>
      <w:marLeft w:val="0"/>
      <w:marRight w:val="0"/>
      <w:marTop w:val="0"/>
      <w:marBottom w:val="0"/>
      <w:divBdr>
        <w:top w:val="none" w:sz="0" w:space="0" w:color="auto"/>
        <w:left w:val="none" w:sz="0" w:space="0" w:color="auto"/>
        <w:bottom w:val="none" w:sz="0" w:space="0" w:color="auto"/>
        <w:right w:val="none" w:sz="0" w:space="0" w:color="auto"/>
      </w:divBdr>
      <w:divsChild>
        <w:div w:id="1904558348">
          <w:marLeft w:val="480"/>
          <w:marRight w:val="0"/>
          <w:marTop w:val="0"/>
          <w:marBottom w:val="0"/>
          <w:divBdr>
            <w:top w:val="none" w:sz="0" w:space="0" w:color="auto"/>
            <w:left w:val="none" w:sz="0" w:space="0" w:color="auto"/>
            <w:bottom w:val="none" w:sz="0" w:space="0" w:color="auto"/>
            <w:right w:val="none" w:sz="0" w:space="0" w:color="auto"/>
          </w:divBdr>
          <w:divsChild>
            <w:div w:id="8664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107">
      <w:bodyDiv w:val="1"/>
      <w:marLeft w:val="0"/>
      <w:marRight w:val="0"/>
      <w:marTop w:val="0"/>
      <w:marBottom w:val="0"/>
      <w:divBdr>
        <w:top w:val="none" w:sz="0" w:space="0" w:color="auto"/>
        <w:left w:val="none" w:sz="0" w:space="0" w:color="auto"/>
        <w:bottom w:val="none" w:sz="0" w:space="0" w:color="auto"/>
        <w:right w:val="none" w:sz="0" w:space="0" w:color="auto"/>
      </w:divBdr>
    </w:div>
    <w:div w:id="375155296">
      <w:bodyDiv w:val="1"/>
      <w:marLeft w:val="0"/>
      <w:marRight w:val="0"/>
      <w:marTop w:val="0"/>
      <w:marBottom w:val="0"/>
      <w:divBdr>
        <w:top w:val="none" w:sz="0" w:space="0" w:color="auto"/>
        <w:left w:val="none" w:sz="0" w:space="0" w:color="auto"/>
        <w:bottom w:val="none" w:sz="0" w:space="0" w:color="auto"/>
        <w:right w:val="none" w:sz="0" w:space="0" w:color="auto"/>
      </w:divBdr>
      <w:divsChild>
        <w:div w:id="957836870">
          <w:marLeft w:val="480"/>
          <w:marRight w:val="0"/>
          <w:marTop w:val="0"/>
          <w:marBottom w:val="0"/>
          <w:divBdr>
            <w:top w:val="none" w:sz="0" w:space="0" w:color="auto"/>
            <w:left w:val="none" w:sz="0" w:space="0" w:color="auto"/>
            <w:bottom w:val="none" w:sz="0" w:space="0" w:color="auto"/>
            <w:right w:val="none" w:sz="0" w:space="0" w:color="auto"/>
          </w:divBdr>
          <w:divsChild>
            <w:div w:id="2824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50666">
      <w:bodyDiv w:val="1"/>
      <w:marLeft w:val="0"/>
      <w:marRight w:val="0"/>
      <w:marTop w:val="0"/>
      <w:marBottom w:val="0"/>
      <w:divBdr>
        <w:top w:val="none" w:sz="0" w:space="0" w:color="auto"/>
        <w:left w:val="none" w:sz="0" w:space="0" w:color="auto"/>
        <w:bottom w:val="none" w:sz="0" w:space="0" w:color="auto"/>
        <w:right w:val="none" w:sz="0" w:space="0" w:color="auto"/>
      </w:divBdr>
      <w:divsChild>
        <w:div w:id="408842385">
          <w:marLeft w:val="480"/>
          <w:marRight w:val="0"/>
          <w:marTop w:val="0"/>
          <w:marBottom w:val="0"/>
          <w:divBdr>
            <w:top w:val="none" w:sz="0" w:space="0" w:color="auto"/>
            <w:left w:val="none" w:sz="0" w:space="0" w:color="auto"/>
            <w:bottom w:val="none" w:sz="0" w:space="0" w:color="auto"/>
            <w:right w:val="none" w:sz="0" w:space="0" w:color="auto"/>
          </w:divBdr>
          <w:divsChild>
            <w:div w:id="4446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2172">
      <w:bodyDiv w:val="1"/>
      <w:marLeft w:val="0"/>
      <w:marRight w:val="0"/>
      <w:marTop w:val="0"/>
      <w:marBottom w:val="0"/>
      <w:divBdr>
        <w:top w:val="none" w:sz="0" w:space="0" w:color="auto"/>
        <w:left w:val="none" w:sz="0" w:space="0" w:color="auto"/>
        <w:bottom w:val="none" w:sz="0" w:space="0" w:color="auto"/>
        <w:right w:val="none" w:sz="0" w:space="0" w:color="auto"/>
      </w:divBdr>
      <w:divsChild>
        <w:div w:id="2109155081">
          <w:marLeft w:val="480"/>
          <w:marRight w:val="0"/>
          <w:marTop w:val="0"/>
          <w:marBottom w:val="0"/>
          <w:divBdr>
            <w:top w:val="none" w:sz="0" w:space="0" w:color="auto"/>
            <w:left w:val="none" w:sz="0" w:space="0" w:color="auto"/>
            <w:bottom w:val="none" w:sz="0" w:space="0" w:color="auto"/>
            <w:right w:val="none" w:sz="0" w:space="0" w:color="auto"/>
          </w:divBdr>
          <w:divsChild>
            <w:div w:id="6400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34035">
      <w:bodyDiv w:val="1"/>
      <w:marLeft w:val="0"/>
      <w:marRight w:val="0"/>
      <w:marTop w:val="0"/>
      <w:marBottom w:val="0"/>
      <w:divBdr>
        <w:top w:val="none" w:sz="0" w:space="0" w:color="auto"/>
        <w:left w:val="none" w:sz="0" w:space="0" w:color="auto"/>
        <w:bottom w:val="none" w:sz="0" w:space="0" w:color="auto"/>
        <w:right w:val="none" w:sz="0" w:space="0" w:color="auto"/>
      </w:divBdr>
      <w:divsChild>
        <w:div w:id="890191780">
          <w:marLeft w:val="480"/>
          <w:marRight w:val="0"/>
          <w:marTop w:val="0"/>
          <w:marBottom w:val="0"/>
          <w:divBdr>
            <w:top w:val="none" w:sz="0" w:space="0" w:color="auto"/>
            <w:left w:val="none" w:sz="0" w:space="0" w:color="auto"/>
            <w:bottom w:val="none" w:sz="0" w:space="0" w:color="auto"/>
            <w:right w:val="none" w:sz="0" w:space="0" w:color="auto"/>
          </w:divBdr>
          <w:divsChild>
            <w:div w:id="4113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76531">
      <w:bodyDiv w:val="1"/>
      <w:marLeft w:val="0"/>
      <w:marRight w:val="0"/>
      <w:marTop w:val="0"/>
      <w:marBottom w:val="0"/>
      <w:divBdr>
        <w:top w:val="none" w:sz="0" w:space="0" w:color="auto"/>
        <w:left w:val="none" w:sz="0" w:space="0" w:color="auto"/>
        <w:bottom w:val="none" w:sz="0" w:space="0" w:color="auto"/>
        <w:right w:val="none" w:sz="0" w:space="0" w:color="auto"/>
      </w:divBdr>
      <w:divsChild>
        <w:div w:id="1191845196">
          <w:marLeft w:val="0"/>
          <w:marRight w:val="0"/>
          <w:marTop w:val="0"/>
          <w:marBottom w:val="0"/>
          <w:divBdr>
            <w:top w:val="none" w:sz="0" w:space="0" w:color="auto"/>
            <w:left w:val="none" w:sz="0" w:space="0" w:color="auto"/>
            <w:bottom w:val="none" w:sz="0" w:space="0" w:color="auto"/>
            <w:right w:val="none" w:sz="0" w:space="0" w:color="auto"/>
          </w:divBdr>
        </w:div>
        <w:div w:id="2129081383">
          <w:marLeft w:val="0"/>
          <w:marRight w:val="0"/>
          <w:marTop w:val="0"/>
          <w:marBottom w:val="0"/>
          <w:divBdr>
            <w:top w:val="none" w:sz="0" w:space="0" w:color="auto"/>
            <w:left w:val="none" w:sz="0" w:space="0" w:color="auto"/>
            <w:bottom w:val="none" w:sz="0" w:space="0" w:color="auto"/>
            <w:right w:val="none" w:sz="0" w:space="0" w:color="auto"/>
          </w:divBdr>
        </w:div>
        <w:div w:id="1721635985">
          <w:marLeft w:val="0"/>
          <w:marRight w:val="0"/>
          <w:marTop w:val="0"/>
          <w:marBottom w:val="0"/>
          <w:divBdr>
            <w:top w:val="none" w:sz="0" w:space="0" w:color="auto"/>
            <w:left w:val="none" w:sz="0" w:space="0" w:color="auto"/>
            <w:bottom w:val="none" w:sz="0" w:space="0" w:color="auto"/>
            <w:right w:val="none" w:sz="0" w:space="0" w:color="auto"/>
          </w:divBdr>
        </w:div>
      </w:divsChild>
    </w:div>
    <w:div w:id="400714393">
      <w:bodyDiv w:val="1"/>
      <w:marLeft w:val="0"/>
      <w:marRight w:val="0"/>
      <w:marTop w:val="0"/>
      <w:marBottom w:val="0"/>
      <w:divBdr>
        <w:top w:val="none" w:sz="0" w:space="0" w:color="auto"/>
        <w:left w:val="none" w:sz="0" w:space="0" w:color="auto"/>
        <w:bottom w:val="none" w:sz="0" w:space="0" w:color="auto"/>
        <w:right w:val="none" w:sz="0" w:space="0" w:color="auto"/>
      </w:divBdr>
      <w:divsChild>
        <w:div w:id="364454131">
          <w:marLeft w:val="480"/>
          <w:marRight w:val="0"/>
          <w:marTop w:val="0"/>
          <w:marBottom w:val="0"/>
          <w:divBdr>
            <w:top w:val="none" w:sz="0" w:space="0" w:color="auto"/>
            <w:left w:val="none" w:sz="0" w:space="0" w:color="auto"/>
            <w:bottom w:val="none" w:sz="0" w:space="0" w:color="auto"/>
            <w:right w:val="none" w:sz="0" w:space="0" w:color="auto"/>
          </w:divBdr>
          <w:divsChild>
            <w:div w:id="19160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97815">
      <w:bodyDiv w:val="1"/>
      <w:marLeft w:val="0"/>
      <w:marRight w:val="0"/>
      <w:marTop w:val="0"/>
      <w:marBottom w:val="0"/>
      <w:divBdr>
        <w:top w:val="none" w:sz="0" w:space="0" w:color="auto"/>
        <w:left w:val="none" w:sz="0" w:space="0" w:color="auto"/>
        <w:bottom w:val="none" w:sz="0" w:space="0" w:color="auto"/>
        <w:right w:val="none" w:sz="0" w:space="0" w:color="auto"/>
      </w:divBdr>
      <w:divsChild>
        <w:div w:id="238713538">
          <w:marLeft w:val="480"/>
          <w:marRight w:val="0"/>
          <w:marTop w:val="0"/>
          <w:marBottom w:val="0"/>
          <w:divBdr>
            <w:top w:val="none" w:sz="0" w:space="0" w:color="auto"/>
            <w:left w:val="none" w:sz="0" w:space="0" w:color="auto"/>
            <w:bottom w:val="none" w:sz="0" w:space="0" w:color="auto"/>
            <w:right w:val="none" w:sz="0" w:space="0" w:color="auto"/>
          </w:divBdr>
          <w:divsChild>
            <w:div w:id="43725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40043">
      <w:bodyDiv w:val="1"/>
      <w:marLeft w:val="0"/>
      <w:marRight w:val="0"/>
      <w:marTop w:val="0"/>
      <w:marBottom w:val="0"/>
      <w:divBdr>
        <w:top w:val="none" w:sz="0" w:space="0" w:color="auto"/>
        <w:left w:val="none" w:sz="0" w:space="0" w:color="auto"/>
        <w:bottom w:val="none" w:sz="0" w:space="0" w:color="auto"/>
        <w:right w:val="none" w:sz="0" w:space="0" w:color="auto"/>
      </w:divBdr>
      <w:divsChild>
        <w:div w:id="451023729">
          <w:marLeft w:val="0"/>
          <w:marRight w:val="0"/>
          <w:marTop w:val="0"/>
          <w:marBottom w:val="0"/>
          <w:divBdr>
            <w:top w:val="none" w:sz="0" w:space="0" w:color="auto"/>
            <w:left w:val="none" w:sz="0" w:space="0" w:color="auto"/>
            <w:bottom w:val="none" w:sz="0" w:space="0" w:color="auto"/>
            <w:right w:val="none" w:sz="0" w:space="0" w:color="auto"/>
          </w:divBdr>
        </w:div>
        <w:div w:id="1354111144">
          <w:marLeft w:val="0"/>
          <w:marRight w:val="0"/>
          <w:marTop w:val="0"/>
          <w:marBottom w:val="0"/>
          <w:divBdr>
            <w:top w:val="none" w:sz="0" w:space="0" w:color="auto"/>
            <w:left w:val="none" w:sz="0" w:space="0" w:color="auto"/>
            <w:bottom w:val="none" w:sz="0" w:space="0" w:color="auto"/>
            <w:right w:val="none" w:sz="0" w:space="0" w:color="auto"/>
          </w:divBdr>
        </w:div>
        <w:div w:id="2013293863">
          <w:marLeft w:val="0"/>
          <w:marRight w:val="0"/>
          <w:marTop w:val="0"/>
          <w:marBottom w:val="0"/>
          <w:divBdr>
            <w:top w:val="none" w:sz="0" w:space="0" w:color="auto"/>
            <w:left w:val="none" w:sz="0" w:space="0" w:color="auto"/>
            <w:bottom w:val="none" w:sz="0" w:space="0" w:color="auto"/>
            <w:right w:val="none" w:sz="0" w:space="0" w:color="auto"/>
          </w:divBdr>
        </w:div>
        <w:div w:id="741103890">
          <w:marLeft w:val="0"/>
          <w:marRight w:val="0"/>
          <w:marTop w:val="0"/>
          <w:marBottom w:val="0"/>
          <w:divBdr>
            <w:top w:val="none" w:sz="0" w:space="0" w:color="auto"/>
            <w:left w:val="none" w:sz="0" w:space="0" w:color="auto"/>
            <w:bottom w:val="none" w:sz="0" w:space="0" w:color="auto"/>
            <w:right w:val="none" w:sz="0" w:space="0" w:color="auto"/>
          </w:divBdr>
        </w:div>
        <w:div w:id="953712289">
          <w:marLeft w:val="0"/>
          <w:marRight w:val="0"/>
          <w:marTop w:val="0"/>
          <w:marBottom w:val="0"/>
          <w:divBdr>
            <w:top w:val="none" w:sz="0" w:space="0" w:color="auto"/>
            <w:left w:val="none" w:sz="0" w:space="0" w:color="auto"/>
            <w:bottom w:val="none" w:sz="0" w:space="0" w:color="auto"/>
            <w:right w:val="none" w:sz="0" w:space="0" w:color="auto"/>
          </w:divBdr>
        </w:div>
        <w:div w:id="162934244">
          <w:marLeft w:val="0"/>
          <w:marRight w:val="0"/>
          <w:marTop w:val="0"/>
          <w:marBottom w:val="0"/>
          <w:divBdr>
            <w:top w:val="none" w:sz="0" w:space="0" w:color="auto"/>
            <w:left w:val="none" w:sz="0" w:space="0" w:color="auto"/>
            <w:bottom w:val="none" w:sz="0" w:space="0" w:color="auto"/>
            <w:right w:val="none" w:sz="0" w:space="0" w:color="auto"/>
          </w:divBdr>
        </w:div>
        <w:div w:id="426779030">
          <w:marLeft w:val="0"/>
          <w:marRight w:val="0"/>
          <w:marTop w:val="0"/>
          <w:marBottom w:val="0"/>
          <w:divBdr>
            <w:top w:val="none" w:sz="0" w:space="0" w:color="auto"/>
            <w:left w:val="none" w:sz="0" w:space="0" w:color="auto"/>
            <w:bottom w:val="none" w:sz="0" w:space="0" w:color="auto"/>
            <w:right w:val="none" w:sz="0" w:space="0" w:color="auto"/>
          </w:divBdr>
        </w:div>
      </w:divsChild>
    </w:div>
    <w:div w:id="513689234">
      <w:bodyDiv w:val="1"/>
      <w:marLeft w:val="0"/>
      <w:marRight w:val="0"/>
      <w:marTop w:val="0"/>
      <w:marBottom w:val="0"/>
      <w:divBdr>
        <w:top w:val="none" w:sz="0" w:space="0" w:color="auto"/>
        <w:left w:val="none" w:sz="0" w:space="0" w:color="auto"/>
        <w:bottom w:val="none" w:sz="0" w:space="0" w:color="auto"/>
        <w:right w:val="none" w:sz="0" w:space="0" w:color="auto"/>
      </w:divBdr>
    </w:div>
    <w:div w:id="519273462">
      <w:bodyDiv w:val="1"/>
      <w:marLeft w:val="0"/>
      <w:marRight w:val="0"/>
      <w:marTop w:val="0"/>
      <w:marBottom w:val="0"/>
      <w:divBdr>
        <w:top w:val="none" w:sz="0" w:space="0" w:color="auto"/>
        <w:left w:val="none" w:sz="0" w:space="0" w:color="auto"/>
        <w:bottom w:val="none" w:sz="0" w:space="0" w:color="auto"/>
        <w:right w:val="none" w:sz="0" w:space="0" w:color="auto"/>
      </w:divBdr>
    </w:div>
    <w:div w:id="522790825">
      <w:bodyDiv w:val="1"/>
      <w:marLeft w:val="0"/>
      <w:marRight w:val="0"/>
      <w:marTop w:val="0"/>
      <w:marBottom w:val="0"/>
      <w:divBdr>
        <w:top w:val="none" w:sz="0" w:space="0" w:color="auto"/>
        <w:left w:val="none" w:sz="0" w:space="0" w:color="auto"/>
        <w:bottom w:val="none" w:sz="0" w:space="0" w:color="auto"/>
        <w:right w:val="none" w:sz="0" w:space="0" w:color="auto"/>
      </w:divBdr>
    </w:div>
    <w:div w:id="552350228">
      <w:bodyDiv w:val="1"/>
      <w:marLeft w:val="0"/>
      <w:marRight w:val="0"/>
      <w:marTop w:val="0"/>
      <w:marBottom w:val="0"/>
      <w:divBdr>
        <w:top w:val="none" w:sz="0" w:space="0" w:color="auto"/>
        <w:left w:val="none" w:sz="0" w:space="0" w:color="auto"/>
        <w:bottom w:val="none" w:sz="0" w:space="0" w:color="auto"/>
        <w:right w:val="none" w:sz="0" w:space="0" w:color="auto"/>
      </w:divBdr>
      <w:divsChild>
        <w:div w:id="132406086">
          <w:marLeft w:val="480"/>
          <w:marRight w:val="0"/>
          <w:marTop w:val="0"/>
          <w:marBottom w:val="0"/>
          <w:divBdr>
            <w:top w:val="none" w:sz="0" w:space="0" w:color="auto"/>
            <w:left w:val="none" w:sz="0" w:space="0" w:color="auto"/>
            <w:bottom w:val="none" w:sz="0" w:space="0" w:color="auto"/>
            <w:right w:val="none" w:sz="0" w:space="0" w:color="auto"/>
          </w:divBdr>
          <w:divsChild>
            <w:div w:id="9801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10940">
      <w:bodyDiv w:val="1"/>
      <w:marLeft w:val="0"/>
      <w:marRight w:val="0"/>
      <w:marTop w:val="0"/>
      <w:marBottom w:val="0"/>
      <w:divBdr>
        <w:top w:val="none" w:sz="0" w:space="0" w:color="auto"/>
        <w:left w:val="none" w:sz="0" w:space="0" w:color="auto"/>
        <w:bottom w:val="none" w:sz="0" w:space="0" w:color="auto"/>
        <w:right w:val="none" w:sz="0" w:space="0" w:color="auto"/>
      </w:divBdr>
      <w:divsChild>
        <w:div w:id="1849833223">
          <w:marLeft w:val="480"/>
          <w:marRight w:val="0"/>
          <w:marTop w:val="0"/>
          <w:marBottom w:val="0"/>
          <w:divBdr>
            <w:top w:val="none" w:sz="0" w:space="0" w:color="auto"/>
            <w:left w:val="none" w:sz="0" w:space="0" w:color="auto"/>
            <w:bottom w:val="none" w:sz="0" w:space="0" w:color="auto"/>
            <w:right w:val="none" w:sz="0" w:space="0" w:color="auto"/>
          </w:divBdr>
          <w:divsChild>
            <w:div w:id="68343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6387">
      <w:bodyDiv w:val="1"/>
      <w:marLeft w:val="0"/>
      <w:marRight w:val="0"/>
      <w:marTop w:val="0"/>
      <w:marBottom w:val="0"/>
      <w:divBdr>
        <w:top w:val="none" w:sz="0" w:space="0" w:color="auto"/>
        <w:left w:val="none" w:sz="0" w:space="0" w:color="auto"/>
        <w:bottom w:val="none" w:sz="0" w:space="0" w:color="auto"/>
        <w:right w:val="none" w:sz="0" w:space="0" w:color="auto"/>
      </w:divBdr>
      <w:divsChild>
        <w:div w:id="1097411361">
          <w:marLeft w:val="0"/>
          <w:marRight w:val="0"/>
          <w:marTop w:val="0"/>
          <w:marBottom w:val="0"/>
          <w:divBdr>
            <w:top w:val="none" w:sz="0" w:space="0" w:color="auto"/>
            <w:left w:val="none" w:sz="0" w:space="0" w:color="auto"/>
            <w:bottom w:val="none" w:sz="0" w:space="0" w:color="auto"/>
            <w:right w:val="none" w:sz="0" w:space="0" w:color="auto"/>
          </w:divBdr>
        </w:div>
        <w:div w:id="749351889">
          <w:marLeft w:val="0"/>
          <w:marRight w:val="0"/>
          <w:marTop w:val="0"/>
          <w:marBottom w:val="0"/>
          <w:divBdr>
            <w:top w:val="none" w:sz="0" w:space="0" w:color="auto"/>
            <w:left w:val="none" w:sz="0" w:space="0" w:color="auto"/>
            <w:bottom w:val="none" w:sz="0" w:space="0" w:color="auto"/>
            <w:right w:val="none" w:sz="0" w:space="0" w:color="auto"/>
          </w:divBdr>
        </w:div>
        <w:div w:id="1626303606">
          <w:marLeft w:val="0"/>
          <w:marRight w:val="0"/>
          <w:marTop w:val="0"/>
          <w:marBottom w:val="0"/>
          <w:divBdr>
            <w:top w:val="none" w:sz="0" w:space="0" w:color="auto"/>
            <w:left w:val="none" w:sz="0" w:space="0" w:color="auto"/>
            <w:bottom w:val="none" w:sz="0" w:space="0" w:color="auto"/>
            <w:right w:val="none" w:sz="0" w:space="0" w:color="auto"/>
          </w:divBdr>
        </w:div>
      </w:divsChild>
    </w:div>
    <w:div w:id="583613165">
      <w:bodyDiv w:val="1"/>
      <w:marLeft w:val="0"/>
      <w:marRight w:val="0"/>
      <w:marTop w:val="0"/>
      <w:marBottom w:val="0"/>
      <w:divBdr>
        <w:top w:val="none" w:sz="0" w:space="0" w:color="auto"/>
        <w:left w:val="none" w:sz="0" w:space="0" w:color="auto"/>
        <w:bottom w:val="none" w:sz="0" w:space="0" w:color="auto"/>
        <w:right w:val="none" w:sz="0" w:space="0" w:color="auto"/>
      </w:divBdr>
    </w:div>
    <w:div w:id="587273283">
      <w:bodyDiv w:val="1"/>
      <w:marLeft w:val="0"/>
      <w:marRight w:val="0"/>
      <w:marTop w:val="0"/>
      <w:marBottom w:val="0"/>
      <w:divBdr>
        <w:top w:val="none" w:sz="0" w:space="0" w:color="auto"/>
        <w:left w:val="none" w:sz="0" w:space="0" w:color="auto"/>
        <w:bottom w:val="none" w:sz="0" w:space="0" w:color="auto"/>
        <w:right w:val="none" w:sz="0" w:space="0" w:color="auto"/>
      </w:divBdr>
    </w:div>
    <w:div w:id="587693235">
      <w:bodyDiv w:val="1"/>
      <w:marLeft w:val="0"/>
      <w:marRight w:val="0"/>
      <w:marTop w:val="0"/>
      <w:marBottom w:val="0"/>
      <w:divBdr>
        <w:top w:val="none" w:sz="0" w:space="0" w:color="auto"/>
        <w:left w:val="none" w:sz="0" w:space="0" w:color="auto"/>
        <w:bottom w:val="none" w:sz="0" w:space="0" w:color="auto"/>
        <w:right w:val="none" w:sz="0" w:space="0" w:color="auto"/>
      </w:divBdr>
      <w:divsChild>
        <w:div w:id="809249389">
          <w:marLeft w:val="480"/>
          <w:marRight w:val="0"/>
          <w:marTop w:val="0"/>
          <w:marBottom w:val="0"/>
          <w:divBdr>
            <w:top w:val="none" w:sz="0" w:space="0" w:color="auto"/>
            <w:left w:val="none" w:sz="0" w:space="0" w:color="auto"/>
            <w:bottom w:val="none" w:sz="0" w:space="0" w:color="auto"/>
            <w:right w:val="none" w:sz="0" w:space="0" w:color="auto"/>
          </w:divBdr>
          <w:divsChild>
            <w:div w:id="18507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40335">
      <w:bodyDiv w:val="1"/>
      <w:marLeft w:val="0"/>
      <w:marRight w:val="0"/>
      <w:marTop w:val="0"/>
      <w:marBottom w:val="0"/>
      <w:divBdr>
        <w:top w:val="none" w:sz="0" w:space="0" w:color="auto"/>
        <w:left w:val="none" w:sz="0" w:space="0" w:color="auto"/>
        <w:bottom w:val="none" w:sz="0" w:space="0" w:color="auto"/>
        <w:right w:val="none" w:sz="0" w:space="0" w:color="auto"/>
      </w:divBdr>
      <w:divsChild>
        <w:div w:id="214311487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207719298">
              <w:marLeft w:val="0"/>
              <w:marRight w:val="0"/>
              <w:marTop w:val="0"/>
              <w:marBottom w:val="0"/>
              <w:divBdr>
                <w:top w:val="none" w:sz="0" w:space="0" w:color="auto"/>
                <w:left w:val="none" w:sz="0" w:space="0" w:color="auto"/>
                <w:bottom w:val="none" w:sz="0" w:space="0" w:color="auto"/>
                <w:right w:val="none" w:sz="0" w:space="0" w:color="auto"/>
              </w:divBdr>
              <w:divsChild>
                <w:div w:id="7125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08837">
      <w:bodyDiv w:val="1"/>
      <w:marLeft w:val="0"/>
      <w:marRight w:val="0"/>
      <w:marTop w:val="0"/>
      <w:marBottom w:val="0"/>
      <w:divBdr>
        <w:top w:val="none" w:sz="0" w:space="0" w:color="auto"/>
        <w:left w:val="none" w:sz="0" w:space="0" w:color="auto"/>
        <w:bottom w:val="none" w:sz="0" w:space="0" w:color="auto"/>
        <w:right w:val="none" w:sz="0" w:space="0" w:color="auto"/>
      </w:divBdr>
      <w:divsChild>
        <w:div w:id="313065757">
          <w:marLeft w:val="0"/>
          <w:marRight w:val="0"/>
          <w:marTop w:val="0"/>
          <w:marBottom w:val="0"/>
          <w:divBdr>
            <w:top w:val="none" w:sz="0" w:space="0" w:color="auto"/>
            <w:left w:val="none" w:sz="0" w:space="0" w:color="auto"/>
            <w:bottom w:val="none" w:sz="0" w:space="0" w:color="auto"/>
            <w:right w:val="none" w:sz="0" w:space="0" w:color="auto"/>
          </w:divBdr>
          <w:divsChild>
            <w:div w:id="1857160246">
              <w:marLeft w:val="0"/>
              <w:marRight w:val="0"/>
              <w:marTop w:val="0"/>
              <w:marBottom w:val="0"/>
              <w:divBdr>
                <w:top w:val="none" w:sz="0" w:space="0" w:color="auto"/>
                <w:left w:val="none" w:sz="0" w:space="0" w:color="auto"/>
                <w:bottom w:val="none" w:sz="0" w:space="0" w:color="auto"/>
                <w:right w:val="none" w:sz="0" w:space="0" w:color="auto"/>
              </w:divBdr>
              <w:divsChild>
                <w:div w:id="12817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24837">
      <w:bodyDiv w:val="1"/>
      <w:marLeft w:val="0"/>
      <w:marRight w:val="0"/>
      <w:marTop w:val="0"/>
      <w:marBottom w:val="0"/>
      <w:divBdr>
        <w:top w:val="none" w:sz="0" w:space="0" w:color="auto"/>
        <w:left w:val="none" w:sz="0" w:space="0" w:color="auto"/>
        <w:bottom w:val="none" w:sz="0" w:space="0" w:color="auto"/>
        <w:right w:val="none" w:sz="0" w:space="0" w:color="auto"/>
      </w:divBdr>
    </w:div>
    <w:div w:id="760565238">
      <w:bodyDiv w:val="1"/>
      <w:marLeft w:val="0"/>
      <w:marRight w:val="0"/>
      <w:marTop w:val="0"/>
      <w:marBottom w:val="0"/>
      <w:divBdr>
        <w:top w:val="none" w:sz="0" w:space="0" w:color="auto"/>
        <w:left w:val="none" w:sz="0" w:space="0" w:color="auto"/>
        <w:bottom w:val="none" w:sz="0" w:space="0" w:color="auto"/>
        <w:right w:val="none" w:sz="0" w:space="0" w:color="auto"/>
      </w:divBdr>
      <w:divsChild>
        <w:div w:id="61025227">
          <w:marLeft w:val="480"/>
          <w:marRight w:val="0"/>
          <w:marTop w:val="0"/>
          <w:marBottom w:val="0"/>
          <w:divBdr>
            <w:top w:val="none" w:sz="0" w:space="0" w:color="auto"/>
            <w:left w:val="none" w:sz="0" w:space="0" w:color="auto"/>
            <w:bottom w:val="none" w:sz="0" w:space="0" w:color="auto"/>
            <w:right w:val="none" w:sz="0" w:space="0" w:color="auto"/>
          </w:divBdr>
          <w:divsChild>
            <w:div w:id="14817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87646">
      <w:bodyDiv w:val="1"/>
      <w:marLeft w:val="0"/>
      <w:marRight w:val="0"/>
      <w:marTop w:val="0"/>
      <w:marBottom w:val="0"/>
      <w:divBdr>
        <w:top w:val="none" w:sz="0" w:space="0" w:color="auto"/>
        <w:left w:val="none" w:sz="0" w:space="0" w:color="auto"/>
        <w:bottom w:val="none" w:sz="0" w:space="0" w:color="auto"/>
        <w:right w:val="none" w:sz="0" w:space="0" w:color="auto"/>
      </w:divBdr>
    </w:div>
    <w:div w:id="952631868">
      <w:bodyDiv w:val="1"/>
      <w:marLeft w:val="0"/>
      <w:marRight w:val="0"/>
      <w:marTop w:val="0"/>
      <w:marBottom w:val="0"/>
      <w:divBdr>
        <w:top w:val="none" w:sz="0" w:space="0" w:color="auto"/>
        <w:left w:val="none" w:sz="0" w:space="0" w:color="auto"/>
        <w:bottom w:val="none" w:sz="0" w:space="0" w:color="auto"/>
        <w:right w:val="none" w:sz="0" w:space="0" w:color="auto"/>
      </w:divBdr>
      <w:divsChild>
        <w:div w:id="170992944">
          <w:marLeft w:val="480"/>
          <w:marRight w:val="0"/>
          <w:marTop w:val="0"/>
          <w:marBottom w:val="0"/>
          <w:divBdr>
            <w:top w:val="none" w:sz="0" w:space="0" w:color="auto"/>
            <w:left w:val="none" w:sz="0" w:space="0" w:color="auto"/>
            <w:bottom w:val="none" w:sz="0" w:space="0" w:color="auto"/>
            <w:right w:val="none" w:sz="0" w:space="0" w:color="auto"/>
          </w:divBdr>
          <w:divsChild>
            <w:div w:id="14720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3957">
      <w:bodyDiv w:val="1"/>
      <w:marLeft w:val="0"/>
      <w:marRight w:val="0"/>
      <w:marTop w:val="0"/>
      <w:marBottom w:val="0"/>
      <w:divBdr>
        <w:top w:val="none" w:sz="0" w:space="0" w:color="auto"/>
        <w:left w:val="none" w:sz="0" w:space="0" w:color="auto"/>
        <w:bottom w:val="none" w:sz="0" w:space="0" w:color="auto"/>
        <w:right w:val="none" w:sz="0" w:space="0" w:color="auto"/>
      </w:divBdr>
    </w:div>
    <w:div w:id="972978358">
      <w:bodyDiv w:val="1"/>
      <w:marLeft w:val="0"/>
      <w:marRight w:val="0"/>
      <w:marTop w:val="0"/>
      <w:marBottom w:val="0"/>
      <w:divBdr>
        <w:top w:val="none" w:sz="0" w:space="0" w:color="auto"/>
        <w:left w:val="none" w:sz="0" w:space="0" w:color="auto"/>
        <w:bottom w:val="none" w:sz="0" w:space="0" w:color="auto"/>
        <w:right w:val="none" w:sz="0" w:space="0" w:color="auto"/>
      </w:divBdr>
      <w:divsChild>
        <w:div w:id="901991047">
          <w:marLeft w:val="480"/>
          <w:marRight w:val="0"/>
          <w:marTop w:val="0"/>
          <w:marBottom w:val="0"/>
          <w:divBdr>
            <w:top w:val="none" w:sz="0" w:space="0" w:color="auto"/>
            <w:left w:val="none" w:sz="0" w:space="0" w:color="auto"/>
            <w:bottom w:val="none" w:sz="0" w:space="0" w:color="auto"/>
            <w:right w:val="none" w:sz="0" w:space="0" w:color="auto"/>
          </w:divBdr>
          <w:divsChild>
            <w:div w:id="5682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6208">
      <w:bodyDiv w:val="1"/>
      <w:marLeft w:val="0"/>
      <w:marRight w:val="0"/>
      <w:marTop w:val="0"/>
      <w:marBottom w:val="0"/>
      <w:divBdr>
        <w:top w:val="none" w:sz="0" w:space="0" w:color="auto"/>
        <w:left w:val="none" w:sz="0" w:space="0" w:color="auto"/>
        <w:bottom w:val="none" w:sz="0" w:space="0" w:color="auto"/>
        <w:right w:val="none" w:sz="0" w:space="0" w:color="auto"/>
      </w:divBdr>
      <w:divsChild>
        <w:div w:id="743449384">
          <w:marLeft w:val="480"/>
          <w:marRight w:val="0"/>
          <w:marTop w:val="0"/>
          <w:marBottom w:val="0"/>
          <w:divBdr>
            <w:top w:val="none" w:sz="0" w:space="0" w:color="auto"/>
            <w:left w:val="none" w:sz="0" w:space="0" w:color="auto"/>
            <w:bottom w:val="none" w:sz="0" w:space="0" w:color="auto"/>
            <w:right w:val="none" w:sz="0" w:space="0" w:color="auto"/>
          </w:divBdr>
          <w:divsChild>
            <w:div w:id="8925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36094">
      <w:bodyDiv w:val="1"/>
      <w:marLeft w:val="0"/>
      <w:marRight w:val="0"/>
      <w:marTop w:val="0"/>
      <w:marBottom w:val="0"/>
      <w:divBdr>
        <w:top w:val="none" w:sz="0" w:space="0" w:color="auto"/>
        <w:left w:val="none" w:sz="0" w:space="0" w:color="auto"/>
        <w:bottom w:val="none" w:sz="0" w:space="0" w:color="auto"/>
        <w:right w:val="none" w:sz="0" w:space="0" w:color="auto"/>
      </w:divBdr>
    </w:div>
    <w:div w:id="1060783277">
      <w:bodyDiv w:val="1"/>
      <w:marLeft w:val="0"/>
      <w:marRight w:val="0"/>
      <w:marTop w:val="0"/>
      <w:marBottom w:val="0"/>
      <w:divBdr>
        <w:top w:val="none" w:sz="0" w:space="0" w:color="auto"/>
        <w:left w:val="none" w:sz="0" w:space="0" w:color="auto"/>
        <w:bottom w:val="none" w:sz="0" w:space="0" w:color="auto"/>
        <w:right w:val="none" w:sz="0" w:space="0" w:color="auto"/>
      </w:divBdr>
    </w:div>
    <w:div w:id="1093893491">
      <w:bodyDiv w:val="1"/>
      <w:marLeft w:val="0"/>
      <w:marRight w:val="0"/>
      <w:marTop w:val="0"/>
      <w:marBottom w:val="0"/>
      <w:divBdr>
        <w:top w:val="none" w:sz="0" w:space="0" w:color="auto"/>
        <w:left w:val="none" w:sz="0" w:space="0" w:color="auto"/>
        <w:bottom w:val="none" w:sz="0" w:space="0" w:color="auto"/>
        <w:right w:val="none" w:sz="0" w:space="0" w:color="auto"/>
      </w:divBdr>
      <w:divsChild>
        <w:div w:id="2126655513">
          <w:marLeft w:val="480"/>
          <w:marRight w:val="0"/>
          <w:marTop w:val="0"/>
          <w:marBottom w:val="0"/>
          <w:divBdr>
            <w:top w:val="none" w:sz="0" w:space="0" w:color="auto"/>
            <w:left w:val="none" w:sz="0" w:space="0" w:color="auto"/>
            <w:bottom w:val="none" w:sz="0" w:space="0" w:color="auto"/>
            <w:right w:val="none" w:sz="0" w:space="0" w:color="auto"/>
          </w:divBdr>
          <w:divsChild>
            <w:div w:id="19220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28376">
      <w:bodyDiv w:val="1"/>
      <w:marLeft w:val="0"/>
      <w:marRight w:val="0"/>
      <w:marTop w:val="0"/>
      <w:marBottom w:val="0"/>
      <w:divBdr>
        <w:top w:val="none" w:sz="0" w:space="0" w:color="auto"/>
        <w:left w:val="none" w:sz="0" w:space="0" w:color="auto"/>
        <w:bottom w:val="none" w:sz="0" w:space="0" w:color="auto"/>
        <w:right w:val="none" w:sz="0" w:space="0" w:color="auto"/>
      </w:divBdr>
    </w:div>
    <w:div w:id="1197811952">
      <w:bodyDiv w:val="1"/>
      <w:marLeft w:val="0"/>
      <w:marRight w:val="0"/>
      <w:marTop w:val="0"/>
      <w:marBottom w:val="0"/>
      <w:divBdr>
        <w:top w:val="none" w:sz="0" w:space="0" w:color="auto"/>
        <w:left w:val="none" w:sz="0" w:space="0" w:color="auto"/>
        <w:bottom w:val="none" w:sz="0" w:space="0" w:color="auto"/>
        <w:right w:val="none" w:sz="0" w:space="0" w:color="auto"/>
      </w:divBdr>
    </w:div>
    <w:div w:id="1221551430">
      <w:bodyDiv w:val="1"/>
      <w:marLeft w:val="0"/>
      <w:marRight w:val="0"/>
      <w:marTop w:val="0"/>
      <w:marBottom w:val="0"/>
      <w:divBdr>
        <w:top w:val="none" w:sz="0" w:space="0" w:color="auto"/>
        <w:left w:val="none" w:sz="0" w:space="0" w:color="auto"/>
        <w:bottom w:val="none" w:sz="0" w:space="0" w:color="auto"/>
        <w:right w:val="none" w:sz="0" w:space="0" w:color="auto"/>
      </w:divBdr>
      <w:divsChild>
        <w:div w:id="137915268">
          <w:marLeft w:val="480"/>
          <w:marRight w:val="0"/>
          <w:marTop w:val="0"/>
          <w:marBottom w:val="0"/>
          <w:divBdr>
            <w:top w:val="none" w:sz="0" w:space="0" w:color="auto"/>
            <w:left w:val="none" w:sz="0" w:space="0" w:color="auto"/>
            <w:bottom w:val="none" w:sz="0" w:space="0" w:color="auto"/>
            <w:right w:val="none" w:sz="0" w:space="0" w:color="auto"/>
          </w:divBdr>
          <w:divsChild>
            <w:div w:id="80334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5087">
      <w:bodyDiv w:val="1"/>
      <w:marLeft w:val="0"/>
      <w:marRight w:val="0"/>
      <w:marTop w:val="0"/>
      <w:marBottom w:val="0"/>
      <w:divBdr>
        <w:top w:val="none" w:sz="0" w:space="0" w:color="auto"/>
        <w:left w:val="none" w:sz="0" w:space="0" w:color="auto"/>
        <w:bottom w:val="none" w:sz="0" w:space="0" w:color="auto"/>
        <w:right w:val="none" w:sz="0" w:space="0" w:color="auto"/>
      </w:divBdr>
      <w:divsChild>
        <w:div w:id="1691103247">
          <w:marLeft w:val="480"/>
          <w:marRight w:val="0"/>
          <w:marTop w:val="0"/>
          <w:marBottom w:val="0"/>
          <w:divBdr>
            <w:top w:val="none" w:sz="0" w:space="0" w:color="auto"/>
            <w:left w:val="none" w:sz="0" w:space="0" w:color="auto"/>
            <w:bottom w:val="none" w:sz="0" w:space="0" w:color="auto"/>
            <w:right w:val="none" w:sz="0" w:space="0" w:color="auto"/>
          </w:divBdr>
          <w:divsChild>
            <w:div w:id="15914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72551">
      <w:bodyDiv w:val="1"/>
      <w:marLeft w:val="0"/>
      <w:marRight w:val="0"/>
      <w:marTop w:val="0"/>
      <w:marBottom w:val="0"/>
      <w:divBdr>
        <w:top w:val="none" w:sz="0" w:space="0" w:color="auto"/>
        <w:left w:val="none" w:sz="0" w:space="0" w:color="auto"/>
        <w:bottom w:val="none" w:sz="0" w:space="0" w:color="auto"/>
        <w:right w:val="none" w:sz="0" w:space="0" w:color="auto"/>
      </w:divBdr>
      <w:divsChild>
        <w:div w:id="465201782">
          <w:marLeft w:val="480"/>
          <w:marRight w:val="0"/>
          <w:marTop w:val="0"/>
          <w:marBottom w:val="0"/>
          <w:divBdr>
            <w:top w:val="none" w:sz="0" w:space="0" w:color="auto"/>
            <w:left w:val="none" w:sz="0" w:space="0" w:color="auto"/>
            <w:bottom w:val="none" w:sz="0" w:space="0" w:color="auto"/>
            <w:right w:val="none" w:sz="0" w:space="0" w:color="auto"/>
          </w:divBdr>
          <w:divsChild>
            <w:div w:id="4112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3004">
      <w:bodyDiv w:val="1"/>
      <w:marLeft w:val="0"/>
      <w:marRight w:val="0"/>
      <w:marTop w:val="0"/>
      <w:marBottom w:val="0"/>
      <w:divBdr>
        <w:top w:val="none" w:sz="0" w:space="0" w:color="auto"/>
        <w:left w:val="none" w:sz="0" w:space="0" w:color="auto"/>
        <w:bottom w:val="none" w:sz="0" w:space="0" w:color="auto"/>
        <w:right w:val="none" w:sz="0" w:space="0" w:color="auto"/>
      </w:divBdr>
      <w:divsChild>
        <w:div w:id="1162741672">
          <w:marLeft w:val="480"/>
          <w:marRight w:val="0"/>
          <w:marTop w:val="0"/>
          <w:marBottom w:val="0"/>
          <w:divBdr>
            <w:top w:val="none" w:sz="0" w:space="0" w:color="auto"/>
            <w:left w:val="none" w:sz="0" w:space="0" w:color="auto"/>
            <w:bottom w:val="none" w:sz="0" w:space="0" w:color="auto"/>
            <w:right w:val="none" w:sz="0" w:space="0" w:color="auto"/>
          </w:divBdr>
          <w:divsChild>
            <w:div w:id="26785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1925">
      <w:bodyDiv w:val="1"/>
      <w:marLeft w:val="0"/>
      <w:marRight w:val="0"/>
      <w:marTop w:val="0"/>
      <w:marBottom w:val="0"/>
      <w:divBdr>
        <w:top w:val="none" w:sz="0" w:space="0" w:color="auto"/>
        <w:left w:val="none" w:sz="0" w:space="0" w:color="auto"/>
        <w:bottom w:val="none" w:sz="0" w:space="0" w:color="auto"/>
        <w:right w:val="none" w:sz="0" w:space="0" w:color="auto"/>
      </w:divBdr>
      <w:divsChild>
        <w:div w:id="2126774954">
          <w:marLeft w:val="480"/>
          <w:marRight w:val="0"/>
          <w:marTop w:val="0"/>
          <w:marBottom w:val="0"/>
          <w:divBdr>
            <w:top w:val="none" w:sz="0" w:space="0" w:color="auto"/>
            <w:left w:val="none" w:sz="0" w:space="0" w:color="auto"/>
            <w:bottom w:val="none" w:sz="0" w:space="0" w:color="auto"/>
            <w:right w:val="none" w:sz="0" w:space="0" w:color="auto"/>
          </w:divBdr>
          <w:divsChild>
            <w:div w:id="19734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43226">
      <w:bodyDiv w:val="1"/>
      <w:marLeft w:val="0"/>
      <w:marRight w:val="0"/>
      <w:marTop w:val="0"/>
      <w:marBottom w:val="0"/>
      <w:divBdr>
        <w:top w:val="none" w:sz="0" w:space="0" w:color="auto"/>
        <w:left w:val="none" w:sz="0" w:space="0" w:color="auto"/>
        <w:bottom w:val="none" w:sz="0" w:space="0" w:color="auto"/>
        <w:right w:val="none" w:sz="0" w:space="0" w:color="auto"/>
      </w:divBdr>
    </w:div>
    <w:div w:id="1478842439">
      <w:bodyDiv w:val="1"/>
      <w:marLeft w:val="0"/>
      <w:marRight w:val="0"/>
      <w:marTop w:val="0"/>
      <w:marBottom w:val="0"/>
      <w:divBdr>
        <w:top w:val="none" w:sz="0" w:space="0" w:color="auto"/>
        <w:left w:val="none" w:sz="0" w:space="0" w:color="auto"/>
        <w:bottom w:val="none" w:sz="0" w:space="0" w:color="auto"/>
        <w:right w:val="none" w:sz="0" w:space="0" w:color="auto"/>
      </w:divBdr>
    </w:div>
    <w:div w:id="1527252898">
      <w:bodyDiv w:val="1"/>
      <w:marLeft w:val="0"/>
      <w:marRight w:val="0"/>
      <w:marTop w:val="0"/>
      <w:marBottom w:val="0"/>
      <w:divBdr>
        <w:top w:val="none" w:sz="0" w:space="0" w:color="auto"/>
        <w:left w:val="none" w:sz="0" w:space="0" w:color="auto"/>
        <w:bottom w:val="none" w:sz="0" w:space="0" w:color="auto"/>
        <w:right w:val="none" w:sz="0" w:space="0" w:color="auto"/>
      </w:divBdr>
    </w:div>
    <w:div w:id="1530991236">
      <w:bodyDiv w:val="1"/>
      <w:marLeft w:val="0"/>
      <w:marRight w:val="0"/>
      <w:marTop w:val="0"/>
      <w:marBottom w:val="0"/>
      <w:divBdr>
        <w:top w:val="none" w:sz="0" w:space="0" w:color="auto"/>
        <w:left w:val="none" w:sz="0" w:space="0" w:color="auto"/>
        <w:bottom w:val="none" w:sz="0" w:space="0" w:color="auto"/>
        <w:right w:val="none" w:sz="0" w:space="0" w:color="auto"/>
      </w:divBdr>
      <w:divsChild>
        <w:div w:id="1945766418">
          <w:marLeft w:val="480"/>
          <w:marRight w:val="0"/>
          <w:marTop w:val="0"/>
          <w:marBottom w:val="0"/>
          <w:divBdr>
            <w:top w:val="none" w:sz="0" w:space="0" w:color="auto"/>
            <w:left w:val="none" w:sz="0" w:space="0" w:color="auto"/>
            <w:bottom w:val="none" w:sz="0" w:space="0" w:color="auto"/>
            <w:right w:val="none" w:sz="0" w:space="0" w:color="auto"/>
          </w:divBdr>
          <w:divsChild>
            <w:div w:id="9449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6163">
      <w:bodyDiv w:val="1"/>
      <w:marLeft w:val="0"/>
      <w:marRight w:val="0"/>
      <w:marTop w:val="0"/>
      <w:marBottom w:val="0"/>
      <w:divBdr>
        <w:top w:val="none" w:sz="0" w:space="0" w:color="auto"/>
        <w:left w:val="none" w:sz="0" w:space="0" w:color="auto"/>
        <w:bottom w:val="none" w:sz="0" w:space="0" w:color="auto"/>
        <w:right w:val="none" w:sz="0" w:space="0" w:color="auto"/>
      </w:divBdr>
      <w:divsChild>
        <w:div w:id="499737196">
          <w:marLeft w:val="0"/>
          <w:marRight w:val="0"/>
          <w:marTop w:val="0"/>
          <w:marBottom w:val="0"/>
          <w:divBdr>
            <w:top w:val="none" w:sz="0" w:space="0" w:color="auto"/>
            <w:left w:val="none" w:sz="0" w:space="0" w:color="auto"/>
            <w:bottom w:val="none" w:sz="0" w:space="0" w:color="auto"/>
            <w:right w:val="none" w:sz="0" w:space="0" w:color="auto"/>
          </w:divBdr>
        </w:div>
        <w:div w:id="1574705139">
          <w:marLeft w:val="0"/>
          <w:marRight w:val="0"/>
          <w:marTop w:val="0"/>
          <w:marBottom w:val="0"/>
          <w:divBdr>
            <w:top w:val="none" w:sz="0" w:space="0" w:color="auto"/>
            <w:left w:val="none" w:sz="0" w:space="0" w:color="auto"/>
            <w:bottom w:val="none" w:sz="0" w:space="0" w:color="auto"/>
            <w:right w:val="none" w:sz="0" w:space="0" w:color="auto"/>
          </w:divBdr>
        </w:div>
        <w:div w:id="1166748702">
          <w:marLeft w:val="0"/>
          <w:marRight w:val="0"/>
          <w:marTop w:val="0"/>
          <w:marBottom w:val="0"/>
          <w:divBdr>
            <w:top w:val="none" w:sz="0" w:space="0" w:color="auto"/>
            <w:left w:val="none" w:sz="0" w:space="0" w:color="auto"/>
            <w:bottom w:val="none" w:sz="0" w:space="0" w:color="auto"/>
            <w:right w:val="none" w:sz="0" w:space="0" w:color="auto"/>
          </w:divBdr>
        </w:div>
        <w:div w:id="160701911">
          <w:marLeft w:val="0"/>
          <w:marRight w:val="0"/>
          <w:marTop w:val="0"/>
          <w:marBottom w:val="0"/>
          <w:divBdr>
            <w:top w:val="none" w:sz="0" w:space="0" w:color="auto"/>
            <w:left w:val="none" w:sz="0" w:space="0" w:color="auto"/>
            <w:bottom w:val="none" w:sz="0" w:space="0" w:color="auto"/>
            <w:right w:val="none" w:sz="0" w:space="0" w:color="auto"/>
          </w:divBdr>
        </w:div>
        <w:div w:id="1381436482">
          <w:marLeft w:val="0"/>
          <w:marRight w:val="0"/>
          <w:marTop w:val="0"/>
          <w:marBottom w:val="0"/>
          <w:divBdr>
            <w:top w:val="none" w:sz="0" w:space="0" w:color="auto"/>
            <w:left w:val="none" w:sz="0" w:space="0" w:color="auto"/>
            <w:bottom w:val="none" w:sz="0" w:space="0" w:color="auto"/>
            <w:right w:val="none" w:sz="0" w:space="0" w:color="auto"/>
          </w:divBdr>
        </w:div>
      </w:divsChild>
    </w:div>
    <w:div w:id="1592465830">
      <w:bodyDiv w:val="1"/>
      <w:marLeft w:val="0"/>
      <w:marRight w:val="0"/>
      <w:marTop w:val="0"/>
      <w:marBottom w:val="0"/>
      <w:divBdr>
        <w:top w:val="none" w:sz="0" w:space="0" w:color="auto"/>
        <w:left w:val="none" w:sz="0" w:space="0" w:color="auto"/>
        <w:bottom w:val="none" w:sz="0" w:space="0" w:color="auto"/>
        <w:right w:val="none" w:sz="0" w:space="0" w:color="auto"/>
      </w:divBdr>
    </w:div>
    <w:div w:id="1722242276">
      <w:bodyDiv w:val="1"/>
      <w:marLeft w:val="0"/>
      <w:marRight w:val="0"/>
      <w:marTop w:val="0"/>
      <w:marBottom w:val="0"/>
      <w:divBdr>
        <w:top w:val="none" w:sz="0" w:space="0" w:color="auto"/>
        <w:left w:val="none" w:sz="0" w:space="0" w:color="auto"/>
        <w:bottom w:val="none" w:sz="0" w:space="0" w:color="auto"/>
        <w:right w:val="none" w:sz="0" w:space="0" w:color="auto"/>
      </w:divBdr>
      <w:divsChild>
        <w:div w:id="855844392">
          <w:marLeft w:val="480"/>
          <w:marRight w:val="0"/>
          <w:marTop w:val="0"/>
          <w:marBottom w:val="0"/>
          <w:divBdr>
            <w:top w:val="none" w:sz="0" w:space="0" w:color="auto"/>
            <w:left w:val="none" w:sz="0" w:space="0" w:color="auto"/>
            <w:bottom w:val="none" w:sz="0" w:space="0" w:color="auto"/>
            <w:right w:val="none" w:sz="0" w:space="0" w:color="auto"/>
          </w:divBdr>
          <w:divsChild>
            <w:div w:id="61957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34327">
      <w:bodyDiv w:val="1"/>
      <w:marLeft w:val="0"/>
      <w:marRight w:val="0"/>
      <w:marTop w:val="0"/>
      <w:marBottom w:val="0"/>
      <w:divBdr>
        <w:top w:val="none" w:sz="0" w:space="0" w:color="auto"/>
        <w:left w:val="none" w:sz="0" w:space="0" w:color="auto"/>
        <w:bottom w:val="none" w:sz="0" w:space="0" w:color="auto"/>
        <w:right w:val="none" w:sz="0" w:space="0" w:color="auto"/>
      </w:divBdr>
      <w:divsChild>
        <w:div w:id="723531632">
          <w:marLeft w:val="480"/>
          <w:marRight w:val="0"/>
          <w:marTop w:val="0"/>
          <w:marBottom w:val="0"/>
          <w:divBdr>
            <w:top w:val="none" w:sz="0" w:space="0" w:color="auto"/>
            <w:left w:val="none" w:sz="0" w:space="0" w:color="auto"/>
            <w:bottom w:val="none" w:sz="0" w:space="0" w:color="auto"/>
            <w:right w:val="none" w:sz="0" w:space="0" w:color="auto"/>
          </w:divBdr>
          <w:divsChild>
            <w:div w:id="17791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95130">
      <w:bodyDiv w:val="1"/>
      <w:marLeft w:val="0"/>
      <w:marRight w:val="0"/>
      <w:marTop w:val="0"/>
      <w:marBottom w:val="0"/>
      <w:divBdr>
        <w:top w:val="none" w:sz="0" w:space="0" w:color="auto"/>
        <w:left w:val="none" w:sz="0" w:space="0" w:color="auto"/>
        <w:bottom w:val="none" w:sz="0" w:space="0" w:color="auto"/>
        <w:right w:val="none" w:sz="0" w:space="0" w:color="auto"/>
      </w:divBdr>
    </w:div>
    <w:div w:id="1750271332">
      <w:bodyDiv w:val="1"/>
      <w:marLeft w:val="0"/>
      <w:marRight w:val="0"/>
      <w:marTop w:val="0"/>
      <w:marBottom w:val="0"/>
      <w:divBdr>
        <w:top w:val="none" w:sz="0" w:space="0" w:color="auto"/>
        <w:left w:val="none" w:sz="0" w:space="0" w:color="auto"/>
        <w:bottom w:val="none" w:sz="0" w:space="0" w:color="auto"/>
        <w:right w:val="none" w:sz="0" w:space="0" w:color="auto"/>
      </w:divBdr>
      <w:divsChild>
        <w:div w:id="1019355351">
          <w:marLeft w:val="480"/>
          <w:marRight w:val="0"/>
          <w:marTop w:val="0"/>
          <w:marBottom w:val="0"/>
          <w:divBdr>
            <w:top w:val="none" w:sz="0" w:space="0" w:color="auto"/>
            <w:left w:val="none" w:sz="0" w:space="0" w:color="auto"/>
            <w:bottom w:val="none" w:sz="0" w:space="0" w:color="auto"/>
            <w:right w:val="none" w:sz="0" w:space="0" w:color="auto"/>
          </w:divBdr>
          <w:divsChild>
            <w:div w:id="2779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62829">
      <w:bodyDiv w:val="1"/>
      <w:marLeft w:val="0"/>
      <w:marRight w:val="0"/>
      <w:marTop w:val="0"/>
      <w:marBottom w:val="0"/>
      <w:divBdr>
        <w:top w:val="none" w:sz="0" w:space="0" w:color="auto"/>
        <w:left w:val="none" w:sz="0" w:space="0" w:color="auto"/>
        <w:bottom w:val="none" w:sz="0" w:space="0" w:color="auto"/>
        <w:right w:val="none" w:sz="0" w:space="0" w:color="auto"/>
      </w:divBdr>
      <w:divsChild>
        <w:div w:id="1535266584">
          <w:marLeft w:val="480"/>
          <w:marRight w:val="0"/>
          <w:marTop w:val="0"/>
          <w:marBottom w:val="0"/>
          <w:divBdr>
            <w:top w:val="none" w:sz="0" w:space="0" w:color="auto"/>
            <w:left w:val="none" w:sz="0" w:space="0" w:color="auto"/>
            <w:bottom w:val="none" w:sz="0" w:space="0" w:color="auto"/>
            <w:right w:val="none" w:sz="0" w:space="0" w:color="auto"/>
          </w:divBdr>
          <w:divsChild>
            <w:div w:id="12397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393">
      <w:bodyDiv w:val="1"/>
      <w:marLeft w:val="0"/>
      <w:marRight w:val="0"/>
      <w:marTop w:val="0"/>
      <w:marBottom w:val="0"/>
      <w:divBdr>
        <w:top w:val="none" w:sz="0" w:space="0" w:color="auto"/>
        <w:left w:val="none" w:sz="0" w:space="0" w:color="auto"/>
        <w:bottom w:val="none" w:sz="0" w:space="0" w:color="auto"/>
        <w:right w:val="none" w:sz="0" w:space="0" w:color="auto"/>
      </w:divBdr>
      <w:divsChild>
        <w:div w:id="113981884">
          <w:marLeft w:val="480"/>
          <w:marRight w:val="0"/>
          <w:marTop w:val="0"/>
          <w:marBottom w:val="0"/>
          <w:divBdr>
            <w:top w:val="none" w:sz="0" w:space="0" w:color="auto"/>
            <w:left w:val="none" w:sz="0" w:space="0" w:color="auto"/>
            <w:bottom w:val="none" w:sz="0" w:space="0" w:color="auto"/>
            <w:right w:val="none" w:sz="0" w:space="0" w:color="auto"/>
          </w:divBdr>
          <w:divsChild>
            <w:div w:id="4873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88060">
      <w:bodyDiv w:val="1"/>
      <w:marLeft w:val="0"/>
      <w:marRight w:val="0"/>
      <w:marTop w:val="0"/>
      <w:marBottom w:val="0"/>
      <w:divBdr>
        <w:top w:val="none" w:sz="0" w:space="0" w:color="auto"/>
        <w:left w:val="none" w:sz="0" w:space="0" w:color="auto"/>
        <w:bottom w:val="none" w:sz="0" w:space="0" w:color="auto"/>
        <w:right w:val="none" w:sz="0" w:space="0" w:color="auto"/>
      </w:divBdr>
      <w:divsChild>
        <w:div w:id="1550992391">
          <w:marLeft w:val="480"/>
          <w:marRight w:val="0"/>
          <w:marTop w:val="0"/>
          <w:marBottom w:val="0"/>
          <w:divBdr>
            <w:top w:val="none" w:sz="0" w:space="0" w:color="auto"/>
            <w:left w:val="none" w:sz="0" w:space="0" w:color="auto"/>
            <w:bottom w:val="none" w:sz="0" w:space="0" w:color="auto"/>
            <w:right w:val="none" w:sz="0" w:space="0" w:color="auto"/>
          </w:divBdr>
          <w:divsChild>
            <w:div w:id="13154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1088">
      <w:bodyDiv w:val="1"/>
      <w:marLeft w:val="0"/>
      <w:marRight w:val="0"/>
      <w:marTop w:val="0"/>
      <w:marBottom w:val="0"/>
      <w:divBdr>
        <w:top w:val="none" w:sz="0" w:space="0" w:color="auto"/>
        <w:left w:val="none" w:sz="0" w:space="0" w:color="auto"/>
        <w:bottom w:val="none" w:sz="0" w:space="0" w:color="auto"/>
        <w:right w:val="none" w:sz="0" w:space="0" w:color="auto"/>
      </w:divBdr>
      <w:divsChild>
        <w:div w:id="570849054">
          <w:marLeft w:val="480"/>
          <w:marRight w:val="0"/>
          <w:marTop w:val="0"/>
          <w:marBottom w:val="0"/>
          <w:divBdr>
            <w:top w:val="none" w:sz="0" w:space="0" w:color="auto"/>
            <w:left w:val="none" w:sz="0" w:space="0" w:color="auto"/>
            <w:bottom w:val="none" w:sz="0" w:space="0" w:color="auto"/>
            <w:right w:val="none" w:sz="0" w:space="0" w:color="auto"/>
          </w:divBdr>
          <w:divsChild>
            <w:div w:id="36714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0597">
      <w:bodyDiv w:val="1"/>
      <w:marLeft w:val="0"/>
      <w:marRight w:val="0"/>
      <w:marTop w:val="0"/>
      <w:marBottom w:val="0"/>
      <w:divBdr>
        <w:top w:val="none" w:sz="0" w:space="0" w:color="auto"/>
        <w:left w:val="none" w:sz="0" w:space="0" w:color="auto"/>
        <w:bottom w:val="none" w:sz="0" w:space="0" w:color="auto"/>
        <w:right w:val="none" w:sz="0" w:space="0" w:color="auto"/>
      </w:divBdr>
    </w:div>
    <w:div w:id="1880972299">
      <w:bodyDiv w:val="1"/>
      <w:marLeft w:val="0"/>
      <w:marRight w:val="0"/>
      <w:marTop w:val="0"/>
      <w:marBottom w:val="0"/>
      <w:divBdr>
        <w:top w:val="none" w:sz="0" w:space="0" w:color="auto"/>
        <w:left w:val="none" w:sz="0" w:space="0" w:color="auto"/>
        <w:bottom w:val="none" w:sz="0" w:space="0" w:color="auto"/>
        <w:right w:val="none" w:sz="0" w:space="0" w:color="auto"/>
      </w:divBdr>
      <w:divsChild>
        <w:div w:id="645429896">
          <w:marLeft w:val="480"/>
          <w:marRight w:val="0"/>
          <w:marTop w:val="0"/>
          <w:marBottom w:val="0"/>
          <w:divBdr>
            <w:top w:val="none" w:sz="0" w:space="0" w:color="auto"/>
            <w:left w:val="none" w:sz="0" w:space="0" w:color="auto"/>
            <w:bottom w:val="none" w:sz="0" w:space="0" w:color="auto"/>
            <w:right w:val="none" w:sz="0" w:space="0" w:color="auto"/>
          </w:divBdr>
          <w:divsChild>
            <w:div w:id="16952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8002">
      <w:bodyDiv w:val="1"/>
      <w:marLeft w:val="0"/>
      <w:marRight w:val="0"/>
      <w:marTop w:val="0"/>
      <w:marBottom w:val="0"/>
      <w:divBdr>
        <w:top w:val="none" w:sz="0" w:space="0" w:color="auto"/>
        <w:left w:val="none" w:sz="0" w:space="0" w:color="auto"/>
        <w:bottom w:val="none" w:sz="0" w:space="0" w:color="auto"/>
        <w:right w:val="none" w:sz="0" w:space="0" w:color="auto"/>
      </w:divBdr>
      <w:divsChild>
        <w:div w:id="720522508">
          <w:marLeft w:val="480"/>
          <w:marRight w:val="0"/>
          <w:marTop w:val="0"/>
          <w:marBottom w:val="0"/>
          <w:divBdr>
            <w:top w:val="none" w:sz="0" w:space="0" w:color="auto"/>
            <w:left w:val="none" w:sz="0" w:space="0" w:color="auto"/>
            <w:bottom w:val="none" w:sz="0" w:space="0" w:color="auto"/>
            <w:right w:val="none" w:sz="0" w:space="0" w:color="auto"/>
          </w:divBdr>
          <w:divsChild>
            <w:div w:id="939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70007">
      <w:bodyDiv w:val="1"/>
      <w:marLeft w:val="0"/>
      <w:marRight w:val="0"/>
      <w:marTop w:val="0"/>
      <w:marBottom w:val="0"/>
      <w:divBdr>
        <w:top w:val="none" w:sz="0" w:space="0" w:color="auto"/>
        <w:left w:val="none" w:sz="0" w:space="0" w:color="auto"/>
        <w:bottom w:val="none" w:sz="0" w:space="0" w:color="auto"/>
        <w:right w:val="none" w:sz="0" w:space="0" w:color="auto"/>
      </w:divBdr>
      <w:divsChild>
        <w:div w:id="1347826359">
          <w:marLeft w:val="0"/>
          <w:marRight w:val="0"/>
          <w:marTop w:val="0"/>
          <w:marBottom w:val="0"/>
          <w:divBdr>
            <w:top w:val="none" w:sz="0" w:space="0" w:color="auto"/>
            <w:left w:val="none" w:sz="0" w:space="0" w:color="auto"/>
            <w:bottom w:val="none" w:sz="0" w:space="0" w:color="auto"/>
            <w:right w:val="none" w:sz="0" w:space="0" w:color="auto"/>
          </w:divBdr>
        </w:div>
        <w:div w:id="727151132">
          <w:marLeft w:val="0"/>
          <w:marRight w:val="0"/>
          <w:marTop w:val="0"/>
          <w:marBottom w:val="0"/>
          <w:divBdr>
            <w:top w:val="none" w:sz="0" w:space="0" w:color="auto"/>
            <w:left w:val="none" w:sz="0" w:space="0" w:color="auto"/>
            <w:bottom w:val="none" w:sz="0" w:space="0" w:color="auto"/>
            <w:right w:val="none" w:sz="0" w:space="0" w:color="auto"/>
          </w:divBdr>
        </w:div>
        <w:div w:id="1152017535">
          <w:marLeft w:val="0"/>
          <w:marRight w:val="0"/>
          <w:marTop w:val="0"/>
          <w:marBottom w:val="0"/>
          <w:divBdr>
            <w:top w:val="none" w:sz="0" w:space="0" w:color="auto"/>
            <w:left w:val="none" w:sz="0" w:space="0" w:color="auto"/>
            <w:bottom w:val="none" w:sz="0" w:space="0" w:color="auto"/>
            <w:right w:val="none" w:sz="0" w:space="0" w:color="auto"/>
          </w:divBdr>
        </w:div>
      </w:divsChild>
    </w:div>
    <w:div w:id="207377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reparations.qub.ac.uk/assets/uploads/Volume2Chapter4-2.pdf" TargetMode="External"/><Relationship Id="rId3" Type="http://schemas.openxmlformats.org/officeDocument/2006/relationships/hyperlink" Target="https://transitionaljusticedata.org/fr/" TargetMode="External"/><Relationship Id="rId7" Type="http://schemas.openxmlformats.org/officeDocument/2006/relationships/hyperlink" Target="https://journals.sagepub.com/doi/full/10.1177/00223433221082120" TargetMode="External"/><Relationship Id="rId12" Type="http://schemas.openxmlformats.org/officeDocument/2006/relationships/hyperlink" Target="https://transitionaljusticedata.org/en/faq.html" TargetMode="External"/><Relationship Id="rId2" Type="http://schemas.openxmlformats.org/officeDocument/2006/relationships/hyperlink" Target="https://transitionaljusticedata.org/en/" TargetMode="External"/><Relationship Id="rId1" Type="http://schemas.openxmlformats.org/officeDocument/2006/relationships/hyperlink" Target="https://www.justice.gc.ca/socjs-esjp/en/dash-tab/definitions" TargetMode="External"/><Relationship Id="rId6" Type="http://schemas.openxmlformats.org/officeDocument/2006/relationships/hyperlink" Target="https://childrenandarmedconflict.un.org/wp-content/uploads/2022/05/UN_Gender-Dimensions-Grave-Violations-Against-Children-WEB-2.pdf" TargetMode="External"/><Relationship Id="rId11" Type="http://schemas.openxmlformats.org/officeDocument/2006/relationships/hyperlink" Target="http://www.ivd.tn/rapport/doc/TDC_executive_summary_report.pdf" TargetMode="External"/><Relationship Id="rId5" Type="http://schemas.openxmlformats.org/officeDocument/2006/relationships/hyperlink" Target="https://reparations.qub.ac.uk/assets/uploads/TJRC_report_Volume_4.pdf" TargetMode="External"/><Relationship Id="rId10" Type="http://schemas.openxmlformats.org/officeDocument/2006/relationships/hyperlink" Target="https://fr.scribd.com/document/629969376/mali-jo-2022-38" TargetMode="External"/><Relationship Id="rId4" Type="http://schemas.openxmlformats.org/officeDocument/2006/relationships/hyperlink" Target="https://www.justice.gov.za/trc/hrvtrans/submit/gender.htm" TargetMode="External"/><Relationship Id="rId9" Type="http://schemas.openxmlformats.org/officeDocument/2006/relationships/hyperlink" Target="https://reparations.qub.ac.uk/assets/uploads/Official-Gazette-n%C2%B0-Special-of-15.04.2009-FAR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D1B8E-E75A-47CC-A3AD-6198D3459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7935</Words>
  <Characters>45230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Sikkink, Kathryn</dc:creator>
  <cp:keywords/>
  <dc:description/>
  <cp:lastModifiedBy>Sikkink, Kathryn</cp:lastModifiedBy>
  <cp:revision>2</cp:revision>
  <cp:lastPrinted>2024-03-20T19:06:00Z</cp:lastPrinted>
  <dcterms:created xsi:type="dcterms:W3CDTF">2024-06-18T11:15:00Z</dcterms:created>
  <dcterms:modified xsi:type="dcterms:W3CDTF">2024-06-18T11:15:00Z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id="m5f3MHC5"/&gt;&lt;style id="http://www.zotero.org/styles/chicago-fullnote-bibliography" locale="en-US" hasBibliography="1" bibliographyStyleHasBeenSet="0"/&gt;&lt;prefs&gt;&lt;pref name="fieldType" value="Field"/&gt;</vt:lpwstr>
  </property>
  <property fmtid="{D5CDD505-2E9C-101B-9397-08002B2CF9AE}" pid="3" name="ZOTERO_PREF_2">
    <vt:lpwstr>&lt;pref name="automaticJournalAbbreviations" value="true"/&gt;&lt;pref name="noteType" value="1"/&gt;&lt;/prefs&gt;&lt;/data&gt;</vt:lpwstr>
  </property>
</Properties>
</file>